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78" w:rsidRPr="00CD6884" w:rsidRDefault="00F560CD" w:rsidP="005540FC">
      <w:pPr>
        <w:ind w:firstLine="708"/>
        <w:jc w:val="both"/>
        <w:rPr>
          <w:rFonts w:cstheme="minorHAnsi"/>
          <w:b/>
          <w:color w:val="943634" w:themeColor="accent2" w:themeShade="BF"/>
          <w:sz w:val="32"/>
          <w:szCs w:val="32"/>
          <w:vertAlign w:val="superscript"/>
        </w:rPr>
      </w:pPr>
      <w:r w:rsidRPr="00CD6884">
        <w:rPr>
          <w:rFonts w:cstheme="minorHAnsi"/>
          <w:b/>
          <w:color w:val="943634" w:themeColor="accent2" w:themeShade="BF"/>
          <w:sz w:val="32"/>
          <w:szCs w:val="32"/>
        </w:rPr>
        <w:t>KOBİ’YE BAKK</w:t>
      </w:r>
      <w:r w:rsidR="00BC1978" w:rsidRPr="00CD6884">
        <w:rPr>
          <w:rStyle w:val="DipnotBavurusu"/>
          <w:rFonts w:cstheme="minorHAnsi"/>
          <w:b/>
          <w:color w:val="943634" w:themeColor="accent2" w:themeShade="BF"/>
          <w:sz w:val="32"/>
          <w:szCs w:val="32"/>
        </w:rPr>
        <w:footnoteReference w:id="2"/>
      </w:r>
    </w:p>
    <w:p w:rsidR="00F14A40" w:rsidRPr="00CD6884" w:rsidRDefault="00F14A40" w:rsidP="005540FC">
      <w:pPr>
        <w:ind w:firstLine="708"/>
        <w:jc w:val="both"/>
        <w:rPr>
          <w:rFonts w:cstheme="minorHAnsi"/>
          <w:sz w:val="24"/>
          <w:szCs w:val="24"/>
        </w:rPr>
      </w:pPr>
      <w:r w:rsidRPr="00CD6884">
        <w:rPr>
          <w:rFonts w:cstheme="minorHAnsi"/>
          <w:sz w:val="24"/>
          <w:szCs w:val="24"/>
        </w:rPr>
        <w:t>Şenol SANCAK</w:t>
      </w:r>
      <w:r w:rsidRPr="00CD6884">
        <w:rPr>
          <w:rStyle w:val="DipnotBavurusu"/>
          <w:rFonts w:cstheme="minorHAnsi"/>
          <w:sz w:val="24"/>
          <w:szCs w:val="24"/>
        </w:rPr>
        <w:footnoteReference w:id="3"/>
      </w:r>
    </w:p>
    <w:p w:rsidR="00F14A40" w:rsidRPr="00CD6884" w:rsidRDefault="00F14A40" w:rsidP="005540FC">
      <w:pPr>
        <w:ind w:firstLine="708"/>
        <w:jc w:val="both"/>
        <w:rPr>
          <w:rFonts w:cstheme="minorHAnsi"/>
          <w:sz w:val="24"/>
          <w:szCs w:val="24"/>
        </w:rPr>
      </w:pPr>
    </w:p>
    <w:p w:rsidR="005540FC" w:rsidRPr="00CD6884" w:rsidRDefault="00F14A40" w:rsidP="005540FC">
      <w:pPr>
        <w:ind w:firstLine="708"/>
        <w:jc w:val="both"/>
        <w:rPr>
          <w:rFonts w:cstheme="minorHAnsi"/>
          <w:sz w:val="24"/>
          <w:szCs w:val="24"/>
        </w:rPr>
      </w:pPr>
      <w:r w:rsidRPr="00CD6884">
        <w:rPr>
          <w:rFonts w:cstheme="minorHAnsi"/>
          <w:noProof/>
          <w:sz w:val="24"/>
          <w:szCs w:val="24"/>
          <w:lang w:eastAsia="tr-TR"/>
        </w:rPr>
        <w:drawing>
          <wp:anchor distT="0" distB="0" distL="114300" distR="114300" simplePos="0" relativeHeight="251658240" behindDoc="1" locked="0" layoutInCell="1" allowOverlap="1">
            <wp:simplePos x="0" y="0"/>
            <wp:positionH relativeFrom="column">
              <wp:posOffset>1654810</wp:posOffset>
            </wp:positionH>
            <wp:positionV relativeFrom="paragraph">
              <wp:posOffset>2882900</wp:posOffset>
            </wp:positionV>
            <wp:extent cx="2541270" cy="2342515"/>
            <wp:effectExtent l="0" t="0" r="0" b="635"/>
            <wp:wrapTight wrapText="bothSides">
              <wp:wrapPolygon edited="1">
                <wp:start x="0" y="0"/>
                <wp:lineTo x="0" y="21516"/>
                <wp:lineTo x="21383" y="21516"/>
                <wp:lineTo x="21600" y="0"/>
                <wp:lineTo x="0" y="0"/>
              </wp:wrapPolygon>
            </wp:wrapTight>
            <wp:docPr id="1" name="Resim 1" descr="L:\BAKK Foto\BAKK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AKK Foto\BAKK000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1270" cy="2342515"/>
                    </a:xfrm>
                    <a:prstGeom prst="rect">
                      <a:avLst/>
                    </a:prstGeom>
                    <a:noFill/>
                    <a:ln>
                      <a:noFill/>
                    </a:ln>
                  </pic:spPr>
                </pic:pic>
              </a:graphicData>
            </a:graphic>
          </wp:anchor>
        </w:drawing>
      </w:r>
      <w:r w:rsidR="003B47EF" w:rsidRPr="00CD6884">
        <w:rPr>
          <w:rFonts w:cstheme="minorHAnsi"/>
          <w:sz w:val="24"/>
          <w:szCs w:val="24"/>
        </w:rPr>
        <w:t xml:space="preserve">Siyaset </w:t>
      </w:r>
      <w:r w:rsidR="003D5B82" w:rsidRPr="00CD6884">
        <w:rPr>
          <w:rFonts w:cstheme="minorHAnsi"/>
          <w:sz w:val="24"/>
          <w:szCs w:val="24"/>
        </w:rPr>
        <w:t>başta</w:t>
      </w:r>
      <w:r w:rsidR="00EE76FF" w:rsidRPr="00CD6884">
        <w:rPr>
          <w:rFonts w:cstheme="minorHAnsi"/>
          <w:sz w:val="24"/>
          <w:szCs w:val="24"/>
        </w:rPr>
        <w:t xml:space="preserve"> olmak üzere dünyadaki </w:t>
      </w:r>
      <w:r w:rsidR="0092010C" w:rsidRPr="00CD6884">
        <w:rPr>
          <w:rFonts w:cstheme="minorHAnsi"/>
          <w:sz w:val="24"/>
          <w:szCs w:val="24"/>
        </w:rPr>
        <w:t>birçok ilişkinin</w:t>
      </w:r>
      <w:r w:rsidR="00EE76FF" w:rsidRPr="00CD6884">
        <w:rPr>
          <w:rFonts w:cstheme="minorHAnsi"/>
          <w:sz w:val="24"/>
          <w:szCs w:val="24"/>
        </w:rPr>
        <w:t xml:space="preserve"> temelinde ekonomik </w:t>
      </w:r>
      <w:r w:rsidR="0092010C" w:rsidRPr="00CD6884">
        <w:rPr>
          <w:rFonts w:cstheme="minorHAnsi"/>
          <w:sz w:val="24"/>
          <w:szCs w:val="24"/>
        </w:rPr>
        <w:t>sebeplerin</w:t>
      </w:r>
      <w:r w:rsidR="00C46F93">
        <w:rPr>
          <w:rFonts w:cstheme="minorHAnsi"/>
          <w:sz w:val="24"/>
          <w:szCs w:val="24"/>
        </w:rPr>
        <w:t xml:space="preserve"> </w:t>
      </w:r>
      <w:r w:rsidR="0092010C" w:rsidRPr="00CD6884">
        <w:rPr>
          <w:rFonts w:cstheme="minorHAnsi"/>
          <w:sz w:val="24"/>
          <w:szCs w:val="24"/>
        </w:rPr>
        <w:t>yattığı</w:t>
      </w:r>
      <w:r w:rsidR="00EE76FF" w:rsidRPr="00CD6884">
        <w:rPr>
          <w:rFonts w:cstheme="minorHAnsi"/>
          <w:sz w:val="24"/>
          <w:szCs w:val="24"/>
        </w:rPr>
        <w:t xml:space="preserve"> gerçeğinden yola </w:t>
      </w:r>
      <w:r w:rsidR="0092010C" w:rsidRPr="00CD6884">
        <w:rPr>
          <w:rFonts w:cstheme="minorHAnsi"/>
          <w:sz w:val="24"/>
          <w:szCs w:val="24"/>
        </w:rPr>
        <w:t>çıkılması durumunda</w:t>
      </w:r>
      <w:r w:rsidR="00EE76FF" w:rsidRPr="00CD6884">
        <w:rPr>
          <w:rFonts w:cstheme="minorHAnsi"/>
          <w:sz w:val="24"/>
          <w:szCs w:val="24"/>
        </w:rPr>
        <w:t xml:space="preserve">, ülkelerin ekonomilerine verdikleri ehemmiyetin haklılığını ve manidarlığını anlamak çok daha kolay olacaktır. Bu minvalde ülkelerin geliştirdikleri stratejiler, ekonomik planlar, kalkınma yöntemleri ve gelişim paketleri her ülkenin kendi yapıtaşları ve yapıları çerçevesinde şekillenmekte ve bu yönde adımlar atılmaktadır. </w:t>
      </w:r>
      <w:r w:rsidR="00A07CD3" w:rsidRPr="00CD6884">
        <w:rPr>
          <w:rFonts w:cstheme="minorHAnsi"/>
          <w:sz w:val="24"/>
          <w:szCs w:val="24"/>
        </w:rPr>
        <w:t xml:space="preserve">Doğru yöntem ve kararlı adımlarla gelişmiş ekonomi, gelişmiş ekonomiyle ülke içinde refaha sahip bir halk ve dünya genelinde söz sahibi bir devlet olma sebep-sonucu doğrultusunda </w:t>
      </w:r>
      <w:r w:rsidR="005540FC" w:rsidRPr="00CD6884">
        <w:rPr>
          <w:rFonts w:cstheme="minorHAnsi"/>
          <w:sz w:val="24"/>
          <w:szCs w:val="24"/>
        </w:rPr>
        <w:t>alınan kararlar günde</w:t>
      </w:r>
      <w:r w:rsidR="00CD6884">
        <w:rPr>
          <w:rFonts w:cstheme="minorHAnsi"/>
          <w:sz w:val="24"/>
          <w:szCs w:val="24"/>
        </w:rPr>
        <w:t>-</w:t>
      </w:r>
      <w:r w:rsidR="005540FC" w:rsidRPr="00CD6884">
        <w:rPr>
          <w:rFonts w:cstheme="minorHAnsi"/>
          <w:sz w:val="24"/>
          <w:szCs w:val="24"/>
        </w:rPr>
        <w:t>mimizin en önemli satırlarını oluşturmak</w:t>
      </w:r>
      <w:r w:rsidR="00CD6884">
        <w:rPr>
          <w:rFonts w:cstheme="minorHAnsi"/>
          <w:sz w:val="24"/>
          <w:szCs w:val="24"/>
        </w:rPr>
        <w:t>-</w:t>
      </w:r>
      <w:r w:rsidR="005540FC" w:rsidRPr="00CD6884">
        <w:rPr>
          <w:rFonts w:cstheme="minorHAnsi"/>
          <w:sz w:val="24"/>
          <w:szCs w:val="24"/>
        </w:rPr>
        <w:t xml:space="preserve">tadır. </w:t>
      </w:r>
    </w:p>
    <w:p w:rsidR="005540FC" w:rsidRPr="00CD6884" w:rsidRDefault="005540FC" w:rsidP="005540FC">
      <w:pPr>
        <w:ind w:firstLine="708"/>
        <w:jc w:val="both"/>
        <w:rPr>
          <w:rFonts w:cstheme="minorHAnsi"/>
          <w:sz w:val="24"/>
          <w:szCs w:val="24"/>
        </w:rPr>
      </w:pPr>
      <w:r w:rsidRPr="00CD6884">
        <w:rPr>
          <w:rFonts w:cstheme="minorHAnsi"/>
          <w:sz w:val="24"/>
          <w:szCs w:val="24"/>
        </w:rPr>
        <w:t>Ülkemiz</w:t>
      </w:r>
      <w:r w:rsidR="007C12D5" w:rsidRPr="00CD6884">
        <w:rPr>
          <w:rFonts w:cstheme="minorHAnsi"/>
          <w:sz w:val="24"/>
          <w:szCs w:val="24"/>
        </w:rPr>
        <w:t>de; ekonomi</w:t>
      </w:r>
      <w:r w:rsidRPr="00CD6884">
        <w:rPr>
          <w:rFonts w:cstheme="minorHAnsi"/>
          <w:sz w:val="24"/>
          <w:szCs w:val="24"/>
        </w:rPr>
        <w:t xml:space="preserve">nin yapıtaşı, </w:t>
      </w:r>
      <w:r w:rsidR="00516892" w:rsidRPr="00CD6884">
        <w:rPr>
          <w:rFonts w:cstheme="minorHAnsi"/>
          <w:sz w:val="24"/>
          <w:szCs w:val="24"/>
        </w:rPr>
        <w:t xml:space="preserve">ekonomik gelişmenin tetik parmağı, kriz anlarının </w:t>
      </w:r>
      <w:r w:rsidR="001C5ACE" w:rsidRPr="00CD6884">
        <w:rPr>
          <w:rFonts w:cstheme="minorHAnsi"/>
          <w:sz w:val="24"/>
          <w:szCs w:val="24"/>
        </w:rPr>
        <w:t>güvenlik duvarı Küçük ve Orta Boy İşletmeler’dir (KOBİ).</w:t>
      </w:r>
      <w:r w:rsidR="00C46F93">
        <w:rPr>
          <w:rFonts w:cstheme="minorHAnsi"/>
          <w:sz w:val="24"/>
          <w:szCs w:val="24"/>
        </w:rPr>
        <w:t xml:space="preserve"> </w:t>
      </w:r>
      <w:r w:rsidR="001C5ACE" w:rsidRPr="00CD6884">
        <w:rPr>
          <w:rFonts w:cstheme="minorHAnsi"/>
          <w:sz w:val="24"/>
          <w:szCs w:val="24"/>
        </w:rPr>
        <w:t xml:space="preserve">Başka bir değişle, </w:t>
      </w:r>
      <w:r w:rsidRPr="00CD6884">
        <w:rPr>
          <w:rFonts w:cstheme="minorHAnsi"/>
          <w:sz w:val="24"/>
          <w:szCs w:val="24"/>
        </w:rPr>
        <w:t xml:space="preserve">Küçük ve Orta Ölçekli İşletmeleri Geliştirme ve Destekleme İdaresi Başkanlığı’nın (KOSGEB), 2010 yılı Aralık ayında “Türkiye İstatistik Kurumu (TÜİK) İş Kayıtları”na göre hazırladığı “YOİKK KOBİ Teknik Komitesi KOBİ’lere İlişkin Bilgi ve Verilerin </w:t>
      </w:r>
      <w:r w:rsidRPr="00CD6884">
        <w:rPr>
          <w:rFonts w:cstheme="minorHAnsi"/>
          <w:sz w:val="24"/>
          <w:szCs w:val="24"/>
        </w:rPr>
        <w:lastRenderedPageBreak/>
        <w:t>Derlenmesi ve Raporlanma</w:t>
      </w:r>
      <w:r w:rsidR="007C12D5" w:rsidRPr="00CD6884">
        <w:rPr>
          <w:rFonts w:cstheme="minorHAnsi"/>
          <w:sz w:val="24"/>
          <w:szCs w:val="24"/>
        </w:rPr>
        <w:t>sı Eylemi Durum Tespit Raporu”</w:t>
      </w:r>
      <w:r w:rsidR="001C5ACE" w:rsidRPr="00CD6884">
        <w:rPr>
          <w:rFonts w:cstheme="minorHAnsi"/>
          <w:sz w:val="24"/>
          <w:szCs w:val="24"/>
        </w:rPr>
        <w:t>nun da gösterdiği üzere Türkiye’deki işletmeler içerisinde KOBİ’lerin oranı % 99.9’dur ve bu gösterge de yukarıda bahsedilen önemin en büyük sağlayıcısıdır.</w:t>
      </w:r>
    </w:p>
    <w:p w:rsidR="00C65AA0" w:rsidRPr="00CD6884" w:rsidRDefault="007C12D5" w:rsidP="00C65AA0">
      <w:pPr>
        <w:jc w:val="both"/>
        <w:rPr>
          <w:rFonts w:cstheme="minorHAnsi"/>
          <w:sz w:val="24"/>
          <w:szCs w:val="24"/>
        </w:rPr>
      </w:pPr>
      <w:r w:rsidRPr="00CD6884">
        <w:rPr>
          <w:rFonts w:cstheme="minorHAnsi"/>
          <w:sz w:val="24"/>
          <w:szCs w:val="24"/>
        </w:rPr>
        <w:t>Bu doğrultuda, doğrudan KOBİ’lere dolaylı olarak ise ülke ekonomisine yeni bir ivme kazandırmak amacıyla, Bakanlığımız İç Ticaret Genel Müdürlüğü</w:t>
      </w:r>
      <w:r w:rsidR="00653493" w:rsidRPr="00CD6884">
        <w:rPr>
          <w:rFonts w:cstheme="minorHAnsi"/>
          <w:sz w:val="24"/>
          <w:szCs w:val="24"/>
        </w:rPr>
        <w:t>,</w:t>
      </w:r>
      <w:r w:rsidR="00C46F93">
        <w:rPr>
          <w:rFonts w:cstheme="minorHAnsi"/>
          <w:sz w:val="24"/>
          <w:szCs w:val="24"/>
        </w:rPr>
        <w:t xml:space="preserve"> </w:t>
      </w:r>
      <w:r w:rsidR="00C03886" w:rsidRPr="00CD6884">
        <w:rPr>
          <w:rFonts w:cstheme="minorHAnsi"/>
          <w:sz w:val="24"/>
          <w:szCs w:val="24"/>
        </w:rPr>
        <w:t xml:space="preserve">Avrupa Birliği ve Avrupa Yatırım Bankası Grubu ile ülkemizin özellikle az gelişmiş bölgelerinde ekonomik faaliyet gösteren KOBİ’lerin finansmana erişim sorunlarını aşmak için “Büyüyen Anadolu’ya Kredi Kolaylıkları” (BAKK) Projesini başlatmıştır. Yazının devamında </w:t>
      </w:r>
      <w:r w:rsidR="003A66B2" w:rsidRPr="00CD6884">
        <w:rPr>
          <w:rFonts w:cstheme="minorHAnsi"/>
          <w:sz w:val="24"/>
          <w:szCs w:val="24"/>
        </w:rPr>
        <w:t xml:space="preserve">tekrar </w:t>
      </w:r>
      <w:r w:rsidR="00C03886" w:rsidRPr="00CD6884">
        <w:rPr>
          <w:rFonts w:cstheme="minorHAnsi"/>
          <w:sz w:val="24"/>
          <w:szCs w:val="24"/>
        </w:rPr>
        <w:t>belirtileceği üzere, projeden faydalan</w:t>
      </w:r>
      <w:r w:rsidR="003D5B82" w:rsidRPr="00CD6884">
        <w:rPr>
          <w:rFonts w:cstheme="minorHAnsi"/>
          <w:sz w:val="24"/>
          <w:szCs w:val="24"/>
        </w:rPr>
        <w:t>acak KOBİ’ler ekonomik kaynaklı-</w:t>
      </w:r>
      <w:r w:rsidR="00C03886" w:rsidRPr="00CD6884">
        <w:rPr>
          <w:rFonts w:cstheme="minorHAnsi"/>
          <w:sz w:val="24"/>
          <w:szCs w:val="24"/>
        </w:rPr>
        <w:t>coğrafi sınır</w:t>
      </w:r>
      <w:r w:rsidR="00CD6884">
        <w:rPr>
          <w:rFonts w:cstheme="minorHAnsi"/>
          <w:sz w:val="24"/>
          <w:szCs w:val="24"/>
        </w:rPr>
        <w:t>-</w:t>
      </w:r>
      <w:r w:rsidR="00C03886" w:rsidRPr="00CD6884">
        <w:rPr>
          <w:rFonts w:cstheme="minorHAnsi"/>
          <w:sz w:val="24"/>
          <w:szCs w:val="24"/>
        </w:rPr>
        <w:t>lamaya tabi tutulmuş</w:t>
      </w:r>
      <w:r w:rsidR="00CD6884">
        <w:rPr>
          <w:rFonts w:cstheme="minorHAnsi"/>
          <w:sz w:val="24"/>
          <w:szCs w:val="24"/>
        </w:rPr>
        <w:t>-</w:t>
      </w:r>
      <w:r w:rsidR="00C03886" w:rsidRPr="00CD6884">
        <w:rPr>
          <w:rFonts w:cstheme="minorHAnsi"/>
          <w:sz w:val="24"/>
          <w:szCs w:val="24"/>
        </w:rPr>
        <w:t xml:space="preserve">lardır. </w:t>
      </w:r>
      <w:r w:rsidR="00653493" w:rsidRPr="00CD6884">
        <w:rPr>
          <w:rFonts w:cstheme="minorHAnsi"/>
          <w:sz w:val="24"/>
          <w:szCs w:val="24"/>
        </w:rPr>
        <w:t>Diğer bir ifa</w:t>
      </w:r>
      <w:r w:rsidR="00CD6884">
        <w:rPr>
          <w:rFonts w:cstheme="minorHAnsi"/>
          <w:sz w:val="24"/>
          <w:szCs w:val="24"/>
        </w:rPr>
        <w:t>-</w:t>
      </w:r>
      <w:r w:rsidR="00653493" w:rsidRPr="00CD6884">
        <w:rPr>
          <w:rFonts w:cstheme="minorHAnsi"/>
          <w:sz w:val="24"/>
          <w:szCs w:val="24"/>
        </w:rPr>
        <w:t>deyle, kişi başına düşen milli gelirin Türkiye ortalamasıyla kıyası göz önüne alınmış</w:t>
      </w:r>
      <w:r w:rsidR="003D5B82" w:rsidRPr="00CD6884">
        <w:rPr>
          <w:rFonts w:cstheme="minorHAnsi"/>
          <w:sz w:val="24"/>
          <w:szCs w:val="24"/>
        </w:rPr>
        <w:t xml:space="preserve"> ve bu kıyas sonucunda orta</w:t>
      </w:r>
      <w:r w:rsidR="00CD6884">
        <w:rPr>
          <w:rFonts w:cstheme="minorHAnsi"/>
          <w:sz w:val="24"/>
          <w:szCs w:val="24"/>
        </w:rPr>
        <w:t>-</w:t>
      </w:r>
      <w:r w:rsidR="003D5B82" w:rsidRPr="00CD6884">
        <w:rPr>
          <w:rFonts w:cstheme="minorHAnsi"/>
          <w:sz w:val="24"/>
          <w:szCs w:val="24"/>
        </w:rPr>
        <w:t>laması Türkiye</w:t>
      </w:r>
      <w:r w:rsidR="00CD6884">
        <w:rPr>
          <w:rFonts w:cstheme="minorHAnsi"/>
          <w:sz w:val="24"/>
          <w:szCs w:val="24"/>
        </w:rPr>
        <w:t xml:space="preserve"> ortala-masının</w:t>
      </w:r>
      <w:r w:rsidR="00C46F93">
        <w:rPr>
          <w:rFonts w:cstheme="minorHAnsi"/>
          <w:sz w:val="24"/>
          <w:szCs w:val="24"/>
        </w:rPr>
        <w:t xml:space="preserve"> </w:t>
      </w:r>
      <w:r w:rsidR="00065340" w:rsidRPr="00CD6884">
        <w:rPr>
          <w:rFonts w:cstheme="minorHAnsi"/>
          <w:sz w:val="24"/>
          <w:szCs w:val="24"/>
        </w:rPr>
        <w:t>%75’inden</w:t>
      </w:r>
      <w:r w:rsidR="003D5B82" w:rsidRPr="00CD6884">
        <w:rPr>
          <w:rFonts w:cstheme="minorHAnsi"/>
          <w:sz w:val="24"/>
          <w:szCs w:val="24"/>
        </w:rPr>
        <w:t xml:space="preserve"> düşük olan 43 ilde</w:t>
      </w:r>
      <w:r w:rsidR="00653493" w:rsidRPr="00CD6884">
        <w:rPr>
          <w:rFonts w:cstheme="minorHAnsi"/>
          <w:sz w:val="24"/>
          <w:szCs w:val="24"/>
        </w:rPr>
        <w:t xml:space="preserve"> faaliyet gösteren KOBİ’lerin bu projeden faydalanmasına olanak </w:t>
      </w:r>
      <w:r w:rsidR="003A66B2" w:rsidRPr="00CD6884">
        <w:rPr>
          <w:rFonts w:cstheme="minorHAnsi"/>
          <w:sz w:val="24"/>
          <w:szCs w:val="24"/>
        </w:rPr>
        <w:t>tanınmıştır</w:t>
      </w:r>
      <w:r w:rsidR="00653493" w:rsidRPr="00CD6884">
        <w:rPr>
          <w:rFonts w:cstheme="minorHAnsi"/>
          <w:sz w:val="24"/>
          <w:szCs w:val="24"/>
        </w:rPr>
        <w:t xml:space="preserve">. Bu </w:t>
      </w:r>
      <w:r w:rsidR="003D5B82" w:rsidRPr="00CD6884">
        <w:rPr>
          <w:rFonts w:cstheme="minorHAnsi"/>
          <w:sz w:val="24"/>
          <w:szCs w:val="24"/>
        </w:rPr>
        <w:t xml:space="preserve">yönüyle proje günümüzde sağlanan bazı piyasa geliştirme araçları gibi az gelişmiş bölgelerdeki küçük işletmeleri gelişmiş bölgelerdeki işletmelerle bir rekabet ortamında bırakacak bir proje değildir. Aksine, </w:t>
      </w:r>
      <w:r w:rsidR="00653493" w:rsidRPr="00CD6884">
        <w:rPr>
          <w:rFonts w:cstheme="minorHAnsi"/>
          <w:sz w:val="24"/>
          <w:szCs w:val="24"/>
        </w:rPr>
        <w:t>BAKK Projesi bir yandan ekonomik gelişmişliği sağlarken öte yandan bölgeler arası gelişmişlik farklılıklarını giderm</w:t>
      </w:r>
      <w:r w:rsidR="002F00BB" w:rsidRPr="00CD6884">
        <w:rPr>
          <w:rFonts w:cstheme="minorHAnsi"/>
          <w:sz w:val="24"/>
          <w:szCs w:val="24"/>
        </w:rPr>
        <w:t>ede etkin bir rol oynama amacında geliştirilmiş bir</w:t>
      </w:r>
      <w:r w:rsidR="00C65AA0" w:rsidRPr="00CD6884">
        <w:rPr>
          <w:rFonts w:cstheme="minorHAnsi"/>
          <w:sz w:val="24"/>
          <w:szCs w:val="24"/>
        </w:rPr>
        <w:t xml:space="preserve"> projedir. </w:t>
      </w:r>
    </w:p>
    <w:tbl>
      <w:tblPr>
        <w:tblStyle w:val="AkGlgeleme-Vurgu4"/>
        <w:tblW w:w="4219" w:type="dxa"/>
        <w:tblLook w:val="04A0"/>
      </w:tblPr>
      <w:tblGrid>
        <w:gridCol w:w="4219"/>
      </w:tblGrid>
      <w:tr w:rsidR="000A4A4E" w:rsidRPr="00CD6884" w:rsidTr="000A4A4E">
        <w:trPr>
          <w:cnfStyle w:val="100000000000"/>
          <w:trHeight w:val="692"/>
        </w:trPr>
        <w:tc>
          <w:tcPr>
            <w:cnfStyle w:val="001000000000"/>
            <w:tcW w:w="4219" w:type="dxa"/>
            <w:noWrap/>
          </w:tcPr>
          <w:p w:rsidR="000A4A4E" w:rsidRPr="00CD6884" w:rsidRDefault="000A4A4E" w:rsidP="000A4A4E">
            <w:pPr>
              <w:rPr>
                <w:rFonts w:cstheme="minorHAnsi"/>
              </w:rPr>
            </w:pPr>
            <w:r w:rsidRPr="00CD6884">
              <w:rPr>
                <w:rFonts w:cstheme="minorHAnsi"/>
              </w:rPr>
              <w:lastRenderedPageBreak/>
              <w:t>26 NUTS II Bölgesi</w:t>
            </w:r>
          </w:p>
          <w:p w:rsidR="000A4A4E" w:rsidRPr="00CD6884" w:rsidRDefault="000A4A4E" w:rsidP="000A4A4E">
            <w:pPr>
              <w:rPr>
                <w:rFonts w:eastAsia="Times New Roman" w:cstheme="minorHAnsi"/>
                <w:b w:val="0"/>
                <w:bCs w:val="0"/>
                <w:sz w:val="18"/>
                <w:szCs w:val="18"/>
                <w:lang w:eastAsia="tr-TR"/>
              </w:rPr>
            </w:pPr>
            <w:r w:rsidRPr="00CD6884">
              <w:rPr>
                <w:rFonts w:cstheme="minorHAnsi"/>
                <w:color w:val="FF0000"/>
              </w:rPr>
              <w:t>12 BAKK Hedef NUTS II Bölgesi</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TR10 </w:t>
            </w:r>
            <w:r w:rsidRPr="00CD6884">
              <w:rPr>
                <w:rFonts w:eastAsia="Times New Roman" w:cstheme="minorHAnsi"/>
                <w:i/>
                <w:iCs/>
                <w:sz w:val="18"/>
                <w:szCs w:val="18"/>
                <w:lang w:eastAsia="tr-TR"/>
              </w:rPr>
              <w:t>(İstanbul)</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TR21 </w:t>
            </w:r>
            <w:r w:rsidRPr="00CD6884">
              <w:rPr>
                <w:rFonts w:eastAsia="Times New Roman" w:cstheme="minorHAnsi"/>
                <w:i/>
                <w:iCs/>
                <w:sz w:val="18"/>
                <w:szCs w:val="18"/>
                <w:lang w:eastAsia="tr-TR"/>
              </w:rPr>
              <w:t>(Tekirdağ, Edirne, Kırklareli)</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TR22 </w:t>
            </w:r>
            <w:r w:rsidRPr="00CD6884">
              <w:rPr>
                <w:rFonts w:eastAsia="Times New Roman" w:cstheme="minorHAnsi"/>
                <w:i/>
                <w:iCs/>
                <w:sz w:val="18"/>
                <w:szCs w:val="18"/>
                <w:lang w:eastAsia="tr-TR"/>
              </w:rPr>
              <w:t>(Balıkesir, Çanakkale)</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TR31 </w:t>
            </w:r>
            <w:r w:rsidRPr="00CD6884">
              <w:rPr>
                <w:rFonts w:eastAsia="Times New Roman" w:cstheme="minorHAnsi"/>
                <w:i/>
                <w:iCs/>
                <w:sz w:val="18"/>
                <w:szCs w:val="18"/>
                <w:lang w:eastAsia="tr-TR"/>
              </w:rPr>
              <w:t>(İzmir)</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TR32 </w:t>
            </w:r>
            <w:r w:rsidRPr="00CD6884">
              <w:rPr>
                <w:rFonts w:eastAsia="Times New Roman" w:cstheme="minorHAnsi"/>
                <w:i/>
                <w:iCs/>
                <w:sz w:val="18"/>
                <w:szCs w:val="18"/>
                <w:lang w:eastAsia="tr-TR"/>
              </w:rPr>
              <w:t>(Aydın, Denizli, Muğla)</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TR33 </w:t>
            </w:r>
            <w:r w:rsidRPr="00CD6884">
              <w:rPr>
                <w:rFonts w:eastAsia="Times New Roman" w:cstheme="minorHAnsi"/>
                <w:i/>
                <w:iCs/>
                <w:sz w:val="18"/>
                <w:szCs w:val="18"/>
                <w:lang w:eastAsia="tr-TR"/>
              </w:rPr>
              <w:t>(Manisa, Afyon, Kütahya, Uşak)</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TR41 </w:t>
            </w:r>
            <w:r w:rsidRPr="00CD6884">
              <w:rPr>
                <w:rFonts w:eastAsia="Times New Roman" w:cstheme="minorHAnsi"/>
                <w:i/>
                <w:iCs/>
                <w:sz w:val="18"/>
                <w:szCs w:val="18"/>
                <w:lang w:eastAsia="tr-TR"/>
              </w:rPr>
              <w:t>(Bursa, Eskişehir, Bilecik)</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TR42 </w:t>
            </w:r>
            <w:r w:rsidRPr="00CD6884">
              <w:rPr>
                <w:rFonts w:eastAsia="Times New Roman" w:cstheme="minorHAnsi"/>
                <w:i/>
                <w:iCs/>
                <w:sz w:val="18"/>
                <w:szCs w:val="18"/>
                <w:lang w:eastAsia="tr-TR"/>
              </w:rPr>
              <w:t>(Kocaeli, Sakarya, Düzce, Bolu, Yalova)</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TR51 </w:t>
            </w:r>
            <w:r w:rsidRPr="00CD6884">
              <w:rPr>
                <w:rFonts w:eastAsia="Times New Roman" w:cstheme="minorHAnsi"/>
                <w:i/>
                <w:iCs/>
                <w:sz w:val="18"/>
                <w:szCs w:val="18"/>
                <w:lang w:eastAsia="tr-TR"/>
              </w:rPr>
              <w:t>(Ankara)</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TR52 </w:t>
            </w:r>
            <w:r w:rsidRPr="00CD6884">
              <w:rPr>
                <w:rFonts w:eastAsia="Times New Roman" w:cstheme="minorHAnsi"/>
                <w:i/>
                <w:iCs/>
                <w:sz w:val="18"/>
                <w:szCs w:val="18"/>
                <w:lang w:eastAsia="tr-TR"/>
              </w:rPr>
              <w:t>(Konya, Karaman)</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TR61 </w:t>
            </w:r>
            <w:r w:rsidRPr="00CD6884">
              <w:rPr>
                <w:rFonts w:eastAsia="Times New Roman" w:cstheme="minorHAnsi"/>
                <w:i/>
                <w:iCs/>
                <w:sz w:val="18"/>
                <w:szCs w:val="18"/>
                <w:lang w:eastAsia="tr-TR"/>
              </w:rPr>
              <w:t>(Antalya, Isparta, Burdur)</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TR62 </w:t>
            </w:r>
            <w:r w:rsidRPr="00CD6884">
              <w:rPr>
                <w:rFonts w:eastAsia="Times New Roman" w:cstheme="minorHAnsi"/>
                <w:i/>
                <w:iCs/>
                <w:sz w:val="18"/>
                <w:szCs w:val="18"/>
                <w:lang w:eastAsia="tr-TR"/>
              </w:rPr>
              <w:t>(Adana, Mersin)</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color w:val="FF0000"/>
                <w:sz w:val="18"/>
                <w:szCs w:val="18"/>
                <w:lang w:eastAsia="tr-TR"/>
              </w:rPr>
            </w:pPr>
            <w:r w:rsidRPr="00CD6884">
              <w:rPr>
                <w:rFonts w:eastAsia="Times New Roman" w:cstheme="minorHAnsi"/>
                <w:color w:val="FF0000"/>
                <w:sz w:val="18"/>
                <w:szCs w:val="18"/>
                <w:lang w:eastAsia="tr-TR"/>
              </w:rPr>
              <w:t xml:space="preserve">TR63 </w:t>
            </w:r>
            <w:r w:rsidRPr="00CD6884">
              <w:rPr>
                <w:rFonts w:eastAsia="Times New Roman" w:cstheme="minorHAnsi"/>
                <w:i/>
                <w:iCs/>
                <w:color w:val="FF0000"/>
                <w:sz w:val="18"/>
                <w:szCs w:val="18"/>
                <w:lang w:eastAsia="tr-TR"/>
              </w:rPr>
              <w:t>(Hatay, Kahramanmaraş, Osmaniye)</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TR71 </w:t>
            </w:r>
            <w:r w:rsidRPr="00CD6884">
              <w:rPr>
                <w:rFonts w:eastAsia="Times New Roman" w:cstheme="minorHAnsi"/>
                <w:i/>
                <w:iCs/>
                <w:sz w:val="18"/>
                <w:szCs w:val="18"/>
                <w:lang w:eastAsia="tr-TR"/>
              </w:rPr>
              <w:t>(Kırıkkale, Aksaray, Niğde, Nevşehir, Kırşehir)</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color w:val="FF0000"/>
                <w:sz w:val="18"/>
                <w:szCs w:val="18"/>
                <w:lang w:eastAsia="tr-TR"/>
              </w:rPr>
              <w:t xml:space="preserve">TR72 </w:t>
            </w:r>
            <w:r w:rsidRPr="00CD6884">
              <w:rPr>
                <w:rFonts w:eastAsia="Times New Roman" w:cstheme="minorHAnsi"/>
                <w:i/>
                <w:iCs/>
                <w:color w:val="FF0000"/>
                <w:sz w:val="18"/>
                <w:szCs w:val="18"/>
                <w:lang w:eastAsia="tr-TR"/>
              </w:rPr>
              <w:t>(Kayseri, Sivas, Yozgat)</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sz w:val="18"/>
                <w:szCs w:val="18"/>
                <w:lang w:eastAsia="tr-TR"/>
              </w:rPr>
              <w:t xml:space="preserve">TR81 </w:t>
            </w:r>
            <w:r w:rsidRPr="00CD6884">
              <w:rPr>
                <w:rFonts w:eastAsia="Times New Roman" w:cstheme="minorHAnsi"/>
                <w:i/>
                <w:iCs/>
                <w:sz w:val="18"/>
                <w:szCs w:val="18"/>
                <w:lang w:eastAsia="tr-TR"/>
              </w:rPr>
              <w:t>(Zonguldak, Karabük, Bartın)</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color w:val="FF0000"/>
                <w:sz w:val="18"/>
                <w:szCs w:val="18"/>
                <w:lang w:eastAsia="tr-TR"/>
              </w:rPr>
              <w:t xml:space="preserve">TR82 </w:t>
            </w:r>
            <w:r w:rsidRPr="00CD6884">
              <w:rPr>
                <w:rFonts w:eastAsia="Times New Roman" w:cstheme="minorHAnsi"/>
                <w:i/>
                <w:iCs/>
                <w:color w:val="FF0000"/>
                <w:sz w:val="18"/>
                <w:szCs w:val="18"/>
                <w:lang w:eastAsia="tr-TR"/>
              </w:rPr>
              <w:t>(Kastamonu, Çankırı, Sinop)</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color w:val="FF0000"/>
                <w:sz w:val="18"/>
                <w:szCs w:val="18"/>
                <w:lang w:eastAsia="tr-TR"/>
              </w:rPr>
              <w:t xml:space="preserve">TR83 </w:t>
            </w:r>
            <w:r w:rsidRPr="00CD6884">
              <w:rPr>
                <w:rFonts w:eastAsia="Times New Roman" w:cstheme="minorHAnsi"/>
                <w:i/>
                <w:iCs/>
                <w:color w:val="FF0000"/>
                <w:sz w:val="18"/>
                <w:szCs w:val="18"/>
                <w:lang w:eastAsia="tr-TR"/>
              </w:rPr>
              <w:t>(Samsun, Tokat, Çorum, Amasya)</w:t>
            </w:r>
          </w:p>
        </w:tc>
      </w:tr>
      <w:tr w:rsidR="000A4A4E" w:rsidRPr="00CD6884" w:rsidTr="000A4A4E">
        <w:trPr>
          <w:cnfStyle w:val="000000100000"/>
          <w:trHeight w:val="379"/>
        </w:trPr>
        <w:tc>
          <w:tcPr>
            <w:cnfStyle w:val="001000000000"/>
            <w:tcW w:w="4219" w:type="dxa"/>
            <w:tcBorders>
              <w:bottom w:val="nil"/>
            </w:tcBorders>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color w:val="FF0000"/>
                <w:sz w:val="18"/>
                <w:szCs w:val="18"/>
                <w:lang w:eastAsia="tr-TR"/>
              </w:rPr>
              <w:t xml:space="preserve">TR90 </w:t>
            </w:r>
            <w:r w:rsidRPr="00CD6884">
              <w:rPr>
                <w:rFonts w:eastAsia="Times New Roman" w:cstheme="minorHAnsi"/>
                <w:i/>
                <w:iCs/>
                <w:color w:val="FF0000"/>
                <w:sz w:val="18"/>
                <w:szCs w:val="18"/>
                <w:lang w:eastAsia="tr-TR"/>
              </w:rPr>
              <w:t>(Trabzon, Ordu, Giresun, Rize, Artvin, Gümüşhane)</w:t>
            </w:r>
          </w:p>
        </w:tc>
      </w:tr>
      <w:tr w:rsidR="000A4A4E" w:rsidRPr="00CD6884" w:rsidTr="000A4A4E">
        <w:trPr>
          <w:trHeight w:val="379"/>
        </w:trPr>
        <w:tc>
          <w:tcPr>
            <w:cnfStyle w:val="001000000000"/>
            <w:tcW w:w="4219" w:type="dxa"/>
            <w:tcBorders>
              <w:top w:val="nil"/>
              <w:bottom w:val="nil"/>
            </w:tcBorders>
            <w:noWrap/>
            <w:hideMark/>
          </w:tcPr>
          <w:p w:rsidR="000A4A4E" w:rsidRPr="00CD6884" w:rsidRDefault="000A4A4E" w:rsidP="000A4A4E">
            <w:pPr>
              <w:rPr>
                <w:rFonts w:eastAsia="Times New Roman" w:cstheme="minorHAnsi"/>
                <w:color w:val="FF0000"/>
                <w:sz w:val="18"/>
                <w:szCs w:val="18"/>
                <w:lang w:eastAsia="tr-TR"/>
              </w:rPr>
            </w:pPr>
            <w:r w:rsidRPr="00CD6884">
              <w:rPr>
                <w:rFonts w:eastAsia="Times New Roman" w:cstheme="minorHAnsi"/>
                <w:color w:val="FF0000"/>
                <w:sz w:val="18"/>
                <w:szCs w:val="18"/>
                <w:lang w:eastAsia="tr-TR"/>
              </w:rPr>
              <w:t xml:space="preserve">TRA1 </w:t>
            </w:r>
            <w:r w:rsidRPr="00CD6884">
              <w:rPr>
                <w:rFonts w:eastAsia="Times New Roman" w:cstheme="minorHAnsi"/>
                <w:i/>
                <w:iCs/>
                <w:color w:val="FF0000"/>
                <w:sz w:val="18"/>
                <w:szCs w:val="18"/>
                <w:lang w:eastAsia="tr-TR"/>
              </w:rPr>
              <w:t>(Erzurum, Erzincan, Bayburt)</w:t>
            </w:r>
          </w:p>
        </w:tc>
      </w:tr>
      <w:tr w:rsidR="000A4A4E" w:rsidRPr="00CD6884" w:rsidTr="000A4A4E">
        <w:trPr>
          <w:cnfStyle w:val="000000100000"/>
          <w:trHeight w:val="379"/>
        </w:trPr>
        <w:tc>
          <w:tcPr>
            <w:cnfStyle w:val="001000000000"/>
            <w:tcW w:w="4219" w:type="dxa"/>
            <w:tcBorders>
              <w:top w:val="nil"/>
            </w:tcBorders>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color w:val="FF0000"/>
                <w:sz w:val="18"/>
                <w:szCs w:val="18"/>
                <w:lang w:eastAsia="tr-TR"/>
              </w:rPr>
              <w:t xml:space="preserve">TRA2 </w:t>
            </w:r>
            <w:r w:rsidRPr="00CD6884">
              <w:rPr>
                <w:rFonts w:eastAsia="Times New Roman" w:cstheme="minorHAnsi"/>
                <w:i/>
                <w:iCs/>
                <w:color w:val="FF0000"/>
                <w:sz w:val="18"/>
                <w:szCs w:val="18"/>
                <w:lang w:eastAsia="tr-TR"/>
              </w:rPr>
              <w:t>(Ağrı, Kars, Iğdır, Ardahan)</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color w:val="FF0000"/>
                <w:sz w:val="18"/>
                <w:szCs w:val="18"/>
                <w:lang w:eastAsia="tr-TR"/>
              </w:rPr>
              <w:t xml:space="preserve">TRB1 </w:t>
            </w:r>
            <w:r w:rsidRPr="00CD6884">
              <w:rPr>
                <w:rFonts w:eastAsia="Times New Roman" w:cstheme="minorHAnsi"/>
                <w:i/>
                <w:iCs/>
                <w:color w:val="FF0000"/>
                <w:sz w:val="18"/>
                <w:szCs w:val="18"/>
                <w:lang w:eastAsia="tr-TR"/>
              </w:rPr>
              <w:t>(Malatya, Elazığ, Bingöl, Tunceli)</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sz w:val="18"/>
                <w:szCs w:val="18"/>
                <w:lang w:eastAsia="tr-TR"/>
              </w:rPr>
            </w:pPr>
            <w:r w:rsidRPr="00CD6884">
              <w:rPr>
                <w:rFonts w:eastAsia="Times New Roman" w:cstheme="minorHAnsi"/>
                <w:color w:val="FF0000"/>
                <w:sz w:val="18"/>
                <w:szCs w:val="18"/>
                <w:lang w:eastAsia="tr-TR"/>
              </w:rPr>
              <w:t xml:space="preserve">TRB2 </w:t>
            </w:r>
            <w:r w:rsidRPr="00CD6884">
              <w:rPr>
                <w:rFonts w:eastAsia="Times New Roman" w:cstheme="minorHAnsi"/>
                <w:i/>
                <w:iCs/>
                <w:color w:val="FF0000"/>
                <w:sz w:val="18"/>
                <w:szCs w:val="18"/>
                <w:lang w:eastAsia="tr-TR"/>
              </w:rPr>
              <w:t>(Van, Muş, Bitlis, Hakkari)</w:t>
            </w:r>
          </w:p>
        </w:tc>
      </w:tr>
      <w:tr w:rsidR="000A4A4E" w:rsidRPr="00CD6884" w:rsidTr="000A4A4E">
        <w:trPr>
          <w:trHeight w:val="379"/>
        </w:trPr>
        <w:tc>
          <w:tcPr>
            <w:cnfStyle w:val="001000000000"/>
            <w:tcW w:w="4219" w:type="dxa"/>
            <w:noWrap/>
            <w:hideMark/>
          </w:tcPr>
          <w:p w:rsidR="000A4A4E" w:rsidRPr="00CD6884" w:rsidRDefault="000A4A4E" w:rsidP="000A4A4E">
            <w:pPr>
              <w:rPr>
                <w:rFonts w:eastAsia="Times New Roman" w:cstheme="minorHAnsi"/>
                <w:color w:val="FF0000"/>
                <w:sz w:val="18"/>
                <w:szCs w:val="18"/>
                <w:lang w:eastAsia="tr-TR"/>
              </w:rPr>
            </w:pPr>
            <w:r w:rsidRPr="00CD6884">
              <w:rPr>
                <w:rFonts w:eastAsia="Times New Roman" w:cstheme="minorHAnsi"/>
                <w:color w:val="FF0000"/>
                <w:sz w:val="18"/>
                <w:szCs w:val="18"/>
                <w:lang w:eastAsia="tr-TR"/>
              </w:rPr>
              <w:t xml:space="preserve">TRC1 </w:t>
            </w:r>
            <w:r w:rsidRPr="00CD6884">
              <w:rPr>
                <w:rFonts w:eastAsia="Times New Roman" w:cstheme="minorHAnsi"/>
                <w:i/>
                <w:iCs/>
                <w:color w:val="FF0000"/>
                <w:sz w:val="18"/>
                <w:szCs w:val="18"/>
                <w:lang w:eastAsia="tr-TR"/>
              </w:rPr>
              <w:t>(Gaziantep, Adıyaman, Kilis)</w:t>
            </w:r>
          </w:p>
        </w:tc>
      </w:tr>
      <w:tr w:rsidR="000A4A4E" w:rsidRPr="00CD6884" w:rsidTr="000A4A4E">
        <w:trPr>
          <w:cnfStyle w:val="000000100000"/>
          <w:trHeight w:val="379"/>
        </w:trPr>
        <w:tc>
          <w:tcPr>
            <w:cnfStyle w:val="001000000000"/>
            <w:tcW w:w="4219" w:type="dxa"/>
            <w:noWrap/>
            <w:hideMark/>
          </w:tcPr>
          <w:p w:rsidR="000A4A4E" w:rsidRPr="00CD6884" w:rsidRDefault="000A4A4E" w:rsidP="000A4A4E">
            <w:pPr>
              <w:rPr>
                <w:rFonts w:eastAsia="Times New Roman" w:cstheme="minorHAnsi"/>
                <w:color w:val="FF0000"/>
                <w:sz w:val="18"/>
                <w:szCs w:val="18"/>
                <w:lang w:eastAsia="tr-TR"/>
              </w:rPr>
            </w:pPr>
            <w:r w:rsidRPr="00CD6884">
              <w:rPr>
                <w:rFonts w:eastAsia="Times New Roman" w:cstheme="minorHAnsi"/>
                <w:color w:val="FF0000"/>
                <w:sz w:val="18"/>
                <w:szCs w:val="18"/>
                <w:lang w:eastAsia="tr-TR"/>
              </w:rPr>
              <w:t xml:space="preserve">TRC2 </w:t>
            </w:r>
            <w:r w:rsidRPr="00CD6884">
              <w:rPr>
                <w:rFonts w:eastAsia="Times New Roman" w:cstheme="minorHAnsi"/>
                <w:i/>
                <w:iCs/>
                <w:color w:val="FF0000"/>
                <w:sz w:val="18"/>
                <w:szCs w:val="18"/>
                <w:lang w:eastAsia="tr-TR"/>
              </w:rPr>
              <w:t>(Şanlıurfa, Diyarbakır)</w:t>
            </w:r>
          </w:p>
        </w:tc>
      </w:tr>
      <w:tr w:rsidR="000A4A4E" w:rsidRPr="00CD6884" w:rsidTr="003A66B2">
        <w:trPr>
          <w:trHeight w:val="80"/>
        </w:trPr>
        <w:tc>
          <w:tcPr>
            <w:cnfStyle w:val="001000000000"/>
            <w:tcW w:w="4219" w:type="dxa"/>
            <w:noWrap/>
            <w:hideMark/>
          </w:tcPr>
          <w:p w:rsidR="000A4A4E" w:rsidRPr="00CD6884" w:rsidRDefault="000A4A4E" w:rsidP="000A4A4E">
            <w:pPr>
              <w:rPr>
                <w:rFonts w:eastAsia="Times New Roman" w:cstheme="minorHAnsi"/>
                <w:color w:val="FF0000"/>
                <w:sz w:val="18"/>
                <w:szCs w:val="18"/>
                <w:lang w:eastAsia="tr-TR"/>
              </w:rPr>
            </w:pPr>
            <w:r w:rsidRPr="00CD6884">
              <w:rPr>
                <w:rFonts w:eastAsia="Times New Roman" w:cstheme="minorHAnsi"/>
                <w:color w:val="FF0000"/>
                <w:sz w:val="18"/>
                <w:szCs w:val="18"/>
                <w:lang w:eastAsia="tr-TR"/>
              </w:rPr>
              <w:t xml:space="preserve">TRC3 </w:t>
            </w:r>
            <w:r w:rsidRPr="00CD6884">
              <w:rPr>
                <w:rFonts w:eastAsia="Times New Roman" w:cstheme="minorHAnsi"/>
                <w:i/>
                <w:iCs/>
                <w:color w:val="FF0000"/>
                <w:sz w:val="18"/>
                <w:szCs w:val="18"/>
                <w:lang w:eastAsia="tr-TR"/>
              </w:rPr>
              <w:t>(Mardin, Batman, Şırnak, Siirt)</w:t>
            </w:r>
          </w:p>
        </w:tc>
      </w:tr>
    </w:tbl>
    <w:p w:rsidR="00C65AA0" w:rsidRPr="00CD6884" w:rsidRDefault="00C65AA0" w:rsidP="000A4A4E">
      <w:pPr>
        <w:rPr>
          <w:rFonts w:cstheme="minorHAnsi"/>
          <w:color w:val="FF0000"/>
          <w:sz w:val="16"/>
          <w:szCs w:val="16"/>
        </w:rPr>
      </w:pPr>
      <w:r w:rsidRPr="00CD6884">
        <w:rPr>
          <w:rFonts w:cstheme="minorHAnsi"/>
          <w:b/>
          <w:sz w:val="16"/>
          <w:szCs w:val="16"/>
        </w:rPr>
        <w:t>Tablo:</w:t>
      </w:r>
      <w:r w:rsidRPr="00CD6884">
        <w:rPr>
          <w:rFonts w:cstheme="minorHAnsi"/>
          <w:bCs/>
          <w:iCs/>
          <w:sz w:val="16"/>
          <w:szCs w:val="16"/>
        </w:rPr>
        <w:t>İstatistiki Bölge Birimleri Sınıflandırması Düzey II</w:t>
      </w:r>
      <w:r w:rsidRPr="00CD6884">
        <w:rPr>
          <w:rStyle w:val="DipnotBavurusu"/>
          <w:rFonts w:cstheme="minorHAnsi"/>
          <w:b/>
          <w:bCs/>
          <w:iCs/>
          <w:sz w:val="18"/>
          <w:szCs w:val="18"/>
        </w:rPr>
        <w:footnoteReference w:id="4"/>
      </w:r>
    </w:p>
    <w:p w:rsidR="002F00BB" w:rsidRPr="00CD6884" w:rsidRDefault="00704AD6" w:rsidP="00681311">
      <w:pPr>
        <w:ind w:firstLine="708"/>
        <w:jc w:val="both"/>
        <w:rPr>
          <w:rFonts w:cstheme="minorHAnsi"/>
          <w:sz w:val="24"/>
          <w:szCs w:val="24"/>
        </w:rPr>
      </w:pPr>
      <w:r>
        <w:rPr>
          <w:rFonts w:cstheme="minorHAnsi"/>
          <w:noProof/>
          <w:sz w:val="24"/>
          <w:szCs w:val="24"/>
          <w:lang w:eastAsia="tr-T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 o:spid="_x0000_s1026" type="#_x0000_t185" style="position:absolute;left:0;text-align:left;margin-left:284pt;margin-top:75.25pt;width:252.25pt;height:106.5pt;rotation:90;z-index:251660288;visibility:visible;mso-wrap-distance-right:36pt;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dhaAMAAJQHAAAOAAAAZHJzL2Uyb0RvYy54bWysVW1uGzcQ/V+gdyD4v94PSbYsWDZSOy4K&#10;JI0RpwegSK6WFZdkSUor5zC5Te7VGXJ3LbdFgLiVgAW/9s2beW+HVzfHTpOD9EFZs6bVWUmJNNwK&#10;ZbZr+vun+5+WlITIjGDaGrmmTzLQm+sff7jq3UrWtrVaSE8AxIRV79a0jdGtiiLwVnYsnFknDWw2&#10;1ncswtRvC+FZD+idLuqyPC9664XzlssQYPUub9LrhN80kscPTRNkJHpNgVtMT5+eG3wW11dstfXM&#10;tYoPNNgrWHRMGQg6Qd2xyMjeq39AdYp7G2wTz7jtCts0isuUA2RTlX/L5rFlTqZcoDjBTWUK/x8s&#10;/+3w4IkSa1pfLigxrAORPkQL5VY78vWL3ClNaixT78IKTj+6B4+JBvfO8l0gxt62zGzlG+9t30om&#10;gFyF54sXL+AkwKtk07+3AmKwfbSpYsfGd8RbUGYxL/GXVqEy5JhkeppkksdIOCzO6nK2uAC2HPaq&#10;2aJeLJKQBVshGLJzPsRfpO0IDtZ04xnfyfjAlE/o7PAuxCSXGFJm4g9Kmk6D+AemSVUuz3MWbDUc&#10;BvQRdRBa3Cut0ziMcIE4CwWoF2MeycjyVnsCsJA159LEKpGIysS8en6Ox5MVA4tQn7xc4fKY2QQE&#10;lQWbhRw3h8NouWzTqW+Fm8/hhf8QrsJw3xGvnr0mXspyqKtWhoDJni1CAmdagmvH8sAnPMmhDenB&#10;GPXFSNJqNW0Gv91Mcszvl9XPd8mt4OjTY97ujUiKoKffDuPIlM5jYKcNaiBTkxn117YnwASil6he&#10;0vlfNanTlt53k9oXyTMpJNOuZVnB9EmMBLEpopeyBSAWEkBTPraiH6weYFjNKBEKjb+YLZc1TqDl&#10;VcvLE+FOy7As8Z8YnYTOrsIvGWqTj6fxGBCDYyd7K7YyJz2K8aImARwvZwJPc+gung1EHVwaDvqz&#10;Osh7b03MhtRq28aPaku8ArkRfmCf9pHJM1xwM5HA3rMovcLvS+yQTYaCdgGyIP+x+eQmFo+bI6zi&#10;4saKJ+hJqfvA7QD3GNSstf4zJT3cCUDgzz3zkhL9q8HPul6iqCS+mPk0u6zmc9javNhihgPamkIS&#10;eXgb892zd5BfC8FyKzD2DbTDRk1sM7GBOrT+VPjhmsK75XSeTj1fptd/AQAA//8DAFBLAwQUAAYA&#10;CAAAACEAgto7D98AAAAJAQAADwAAAGRycy9kb3ducmV2LnhtbEyPMU/DMBCFdyT+g3VIbNRpKG0T&#10;4lSoogNLVQpLNye+xhHxOYrdNvTXc0wwPr3T974rVqPrxBmH0HpSMJ0kIJBqb1pqFHx+bB6WIELU&#10;ZHTnCRV8Y4BVeXtT6Nz4C73jeR8bwRAKuVZgY+xzKUNt0ekw8T0Sd0c/OB05Do00g74w3HUyTZK5&#10;dLolXrC6x7XF+mt/cgoWm2X1ag+z49atfXao/fVtt70qdX83vjyDiDjGv2P41Wd1KNmp8icyQXTM&#10;mD6yelQwW4DgPkvnnCsFT0mWgiwL+f+D8gcAAP//AwBQSwECLQAUAAYACAAAACEAtoM4kv4AAADh&#10;AQAAEwAAAAAAAAAAAAAAAAAAAAAAW0NvbnRlbnRfVHlwZXNdLnhtbFBLAQItABQABgAIAAAAIQA4&#10;/SH/1gAAAJQBAAALAAAAAAAAAAAAAAAAAC8BAABfcmVscy8ucmVsc1BLAQItABQABgAIAAAAIQAc&#10;gpdhaAMAAJQHAAAOAAAAAAAAAAAAAAAAAC4CAABkcnMvZTJvRG9jLnhtbFBLAQItABQABgAIAAAA&#10;IQCC2jsP3wAAAAkBAAAPAAAAAAAAAAAAAAAAAMIFAABkcnMvZG93bnJldi54bWxQSwUGAAAAAAQA&#10;BADzAAAAzgYAAAAA&#10;" o:allowincell="f" adj="2346" filled="t" fillcolor="#8aabd3 [2132]" strokecolor="#4f81bd" strokeweight="1pt">
            <v:fill color2="#d6e2f0 [756]" colors="0 #9ab5e4;.25 #9ab5e4;.5 #c2d1ed" focus="100%" type="gradient">
              <o:fill v:ext="view" type="gradientUnscaled"/>
            </v:fill>
            <v:shadow on="t" type="double" opacity=".5" color2="shadow add(102)" offset="3pt,-3pt" offset2="6pt,-6pt"/>
            <v:textbox inset="18pt,18pt,,18pt">
              <w:txbxContent>
                <w:p w:rsidR="00A146C2" w:rsidRDefault="00A146C2">
                  <w:pPr>
                    <w:jc w:val="right"/>
                    <w:rPr>
                      <w:i/>
                      <w:iCs/>
                      <w:color w:val="948A54" w:themeColor="background2" w:themeShade="80"/>
                    </w:rPr>
                  </w:pPr>
                  <w:r>
                    <w:rPr>
                      <w:b/>
                    </w:rPr>
                    <w:t xml:space="preserve">43 ili kapsayan 12 BAKK Hedef NUTS II Bölgesi: </w:t>
                  </w:r>
                  <w:r w:rsidRPr="00A146C2">
                    <w:rPr>
                      <w:color w:val="17365D" w:themeColor="text2" w:themeShade="BF"/>
                    </w:rPr>
                    <w:t>Kişi başına düşen milli geliri, Türkiye ortalamasının %75’inden az olması göz önüne alınarak belirlenmiştir</w:t>
                  </w:r>
                </w:p>
              </w:txbxContent>
            </v:textbox>
            <w10:wrap type="square" anchorx="margin" anchory="margin"/>
          </v:shape>
        </w:pict>
      </w:r>
      <w:r w:rsidR="003D5B82" w:rsidRPr="00CD6884">
        <w:rPr>
          <w:rFonts w:cstheme="minorHAnsi"/>
          <w:sz w:val="24"/>
          <w:szCs w:val="24"/>
        </w:rPr>
        <w:t>Bu projenin gerçekleştirilmesinde rekabet ortamında bırakılacak grup ise KOBİ</w:t>
      </w:r>
      <w:r w:rsidR="00681311" w:rsidRPr="00CD6884">
        <w:rPr>
          <w:rFonts w:cstheme="minorHAnsi"/>
          <w:sz w:val="24"/>
          <w:szCs w:val="24"/>
        </w:rPr>
        <w:t>’</w:t>
      </w:r>
      <w:r w:rsidR="003D5B82" w:rsidRPr="00CD6884">
        <w:rPr>
          <w:rFonts w:cstheme="minorHAnsi"/>
          <w:sz w:val="24"/>
          <w:szCs w:val="24"/>
        </w:rPr>
        <w:t xml:space="preserve">lere kredi desteğini sağlayacak olan aracı/muhabir bankalardır. </w:t>
      </w:r>
      <w:r w:rsidR="003A66B2" w:rsidRPr="00CD6884">
        <w:rPr>
          <w:rFonts w:cstheme="minorHAnsi"/>
          <w:sz w:val="24"/>
          <w:szCs w:val="24"/>
        </w:rPr>
        <w:t>K</w:t>
      </w:r>
      <w:r w:rsidR="003D5B82" w:rsidRPr="00CD6884">
        <w:rPr>
          <w:rFonts w:cstheme="minorHAnsi"/>
          <w:sz w:val="24"/>
          <w:szCs w:val="24"/>
        </w:rPr>
        <w:t>ısaca ifade etmek gerekirse, sağlanan kredi desteği işletmelere doğrudan Avrupa Yatırım Bankası tarafından değil; proje süre</w:t>
      </w:r>
      <w:r w:rsidR="00CD6884">
        <w:rPr>
          <w:rFonts w:cstheme="minorHAnsi"/>
          <w:sz w:val="24"/>
          <w:szCs w:val="24"/>
        </w:rPr>
        <w:t>-</w:t>
      </w:r>
      <w:r w:rsidR="003D5B82" w:rsidRPr="00CD6884">
        <w:rPr>
          <w:rFonts w:cstheme="minorHAnsi"/>
          <w:sz w:val="24"/>
          <w:szCs w:val="24"/>
        </w:rPr>
        <w:t xml:space="preserve">cinde anlaşılan beş muhabir banka </w:t>
      </w:r>
      <w:r w:rsidR="003E71EA" w:rsidRPr="00CD6884">
        <w:rPr>
          <w:rFonts w:cstheme="minorHAnsi"/>
          <w:sz w:val="24"/>
          <w:szCs w:val="24"/>
        </w:rPr>
        <w:t>(Akbank, Deniz</w:t>
      </w:r>
      <w:r w:rsidR="00CD6884">
        <w:rPr>
          <w:rFonts w:cstheme="minorHAnsi"/>
          <w:sz w:val="24"/>
          <w:szCs w:val="24"/>
        </w:rPr>
        <w:t>-</w:t>
      </w:r>
      <w:r w:rsidR="003E71EA" w:rsidRPr="00CD6884">
        <w:rPr>
          <w:rFonts w:cstheme="minorHAnsi"/>
          <w:sz w:val="24"/>
          <w:szCs w:val="24"/>
        </w:rPr>
        <w:t xml:space="preserve">bank, Halkbank, Vakıfbank, Yapı Kredi Bankası) </w:t>
      </w:r>
      <w:r w:rsidR="003D5B82" w:rsidRPr="00CD6884">
        <w:rPr>
          <w:rFonts w:cstheme="minorHAnsi"/>
          <w:sz w:val="24"/>
          <w:szCs w:val="24"/>
        </w:rPr>
        <w:t>tarafından ulaş</w:t>
      </w:r>
      <w:r w:rsidR="00CD6884">
        <w:rPr>
          <w:rFonts w:cstheme="minorHAnsi"/>
          <w:sz w:val="24"/>
          <w:szCs w:val="24"/>
        </w:rPr>
        <w:t>-</w:t>
      </w:r>
      <w:r w:rsidR="003D5B82" w:rsidRPr="00CD6884">
        <w:rPr>
          <w:rFonts w:cstheme="minorHAnsi"/>
          <w:sz w:val="24"/>
          <w:szCs w:val="24"/>
        </w:rPr>
        <w:t>tırılacaktır.</w:t>
      </w:r>
      <w:r w:rsidR="003A66B2" w:rsidRPr="00CD6884">
        <w:rPr>
          <w:rFonts w:cstheme="minorHAnsi"/>
          <w:sz w:val="24"/>
          <w:szCs w:val="24"/>
        </w:rPr>
        <w:t xml:space="preserve"> Proje</w:t>
      </w:r>
      <w:r w:rsidR="00CD6884">
        <w:rPr>
          <w:rFonts w:cstheme="minorHAnsi"/>
          <w:sz w:val="24"/>
          <w:szCs w:val="24"/>
        </w:rPr>
        <w:t>-</w:t>
      </w:r>
      <w:r w:rsidR="003A66B2" w:rsidRPr="00CD6884">
        <w:rPr>
          <w:rFonts w:cstheme="minorHAnsi"/>
          <w:sz w:val="24"/>
          <w:szCs w:val="24"/>
        </w:rPr>
        <w:t>nin bu yolla ger</w:t>
      </w:r>
      <w:r w:rsidR="00CD6884">
        <w:rPr>
          <w:rFonts w:cstheme="minorHAnsi"/>
          <w:sz w:val="24"/>
          <w:szCs w:val="24"/>
        </w:rPr>
        <w:t>-</w:t>
      </w:r>
      <w:r w:rsidR="003A66B2" w:rsidRPr="00CD6884">
        <w:rPr>
          <w:rFonts w:cstheme="minorHAnsi"/>
          <w:sz w:val="24"/>
          <w:szCs w:val="24"/>
        </w:rPr>
        <w:t xml:space="preserve">çekleştirilmesinin avantajı, </w:t>
      </w:r>
      <w:r w:rsidR="003E71EA" w:rsidRPr="00CD6884">
        <w:rPr>
          <w:rFonts w:cstheme="minorHAnsi"/>
          <w:sz w:val="24"/>
          <w:szCs w:val="24"/>
        </w:rPr>
        <w:t xml:space="preserve">kredi almak için yarışan/rekabet eden KOBİ’lerin bulunduğu bir ortamdan ziyade, </w:t>
      </w:r>
      <w:r w:rsidR="003A66B2" w:rsidRPr="00CD6884">
        <w:rPr>
          <w:rFonts w:cstheme="minorHAnsi"/>
          <w:sz w:val="24"/>
          <w:szCs w:val="24"/>
        </w:rPr>
        <w:t xml:space="preserve">teminat desteği sağlanmış krediyi </w:t>
      </w:r>
      <w:r w:rsidR="003E71EA" w:rsidRPr="00CD6884">
        <w:rPr>
          <w:rFonts w:cstheme="minorHAnsi"/>
          <w:sz w:val="24"/>
          <w:szCs w:val="24"/>
        </w:rPr>
        <w:t>KOBİ’lere</w:t>
      </w:r>
      <w:r w:rsidR="003A66B2" w:rsidRPr="00CD6884">
        <w:rPr>
          <w:rFonts w:cstheme="minorHAnsi"/>
          <w:sz w:val="24"/>
          <w:szCs w:val="24"/>
        </w:rPr>
        <w:t xml:space="preserve"> vermek içinyarışan </w:t>
      </w:r>
      <w:r w:rsidR="003E71EA" w:rsidRPr="00CD6884">
        <w:rPr>
          <w:rFonts w:cstheme="minorHAnsi"/>
          <w:sz w:val="24"/>
          <w:szCs w:val="24"/>
        </w:rPr>
        <w:t>beş aracı bankanın olduğu bir piyasa</w:t>
      </w:r>
      <w:r w:rsidR="003A66B2" w:rsidRPr="00CD6884">
        <w:rPr>
          <w:rFonts w:cstheme="minorHAnsi"/>
          <w:sz w:val="24"/>
          <w:szCs w:val="24"/>
        </w:rPr>
        <w:t xml:space="preserve"> olmasıdır</w:t>
      </w:r>
      <w:r w:rsidR="003E71EA" w:rsidRPr="00CD6884">
        <w:rPr>
          <w:rFonts w:cstheme="minorHAnsi"/>
          <w:sz w:val="24"/>
          <w:szCs w:val="24"/>
        </w:rPr>
        <w:t>. Dolayısıyla burada söz konusu olan rekabet bankalar arasında ortaya çıkmış, bankalar kredi verebilme yarışında KOBİ’ler için gerekli tuttukları prosedürleri, yükümlülükleri ve zaman alıcı adımları azaltmış veya ortadan kaldırarak bu yarışta öne geçme gayretine girmişlerdir. Bu da KOBİ’ler için hem</w:t>
      </w:r>
      <w:r w:rsidR="004700BC" w:rsidRPr="00CD6884">
        <w:rPr>
          <w:rFonts w:cstheme="minorHAnsi"/>
          <w:sz w:val="24"/>
          <w:szCs w:val="24"/>
        </w:rPr>
        <w:t xml:space="preserve"> daha elverişli bir kredi ortamı doğurmuş hem de </w:t>
      </w:r>
      <w:r w:rsidR="00937AC6" w:rsidRPr="00CD6884">
        <w:rPr>
          <w:rFonts w:cstheme="minorHAnsi"/>
          <w:sz w:val="24"/>
          <w:szCs w:val="24"/>
        </w:rPr>
        <w:t xml:space="preserve">kredi desteğinin tek mekanizma ile verilmesi sonucunda doğabilecek olan KOBİ’lerin birbirleriyle rekabet etme sonuç ve külfetini KOBİ’ler üzerinden alarak bankalar üzerine yüklemiştir. </w:t>
      </w:r>
    </w:p>
    <w:p w:rsidR="00BC1978" w:rsidRPr="00CD6884" w:rsidRDefault="00FF3A15" w:rsidP="003D4323">
      <w:pPr>
        <w:ind w:firstLine="708"/>
        <w:jc w:val="both"/>
        <w:rPr>
          <w:rFonts w:cstheme="minorHAnsi"/>
          <w:sz w:val="24"/>
          <w:szCs w:val="24"/>
        </w:rPr>
      </w:pPr>
      <w:r w:rsidRPr="00CD6884">
        <w:rPr>
          <w:rFonts w:cstheme="minorHAnsi"/>
          <w:sz w:val="24"/>
          <w:szCs w:val="24"/>
        </w:rPr>
        <w:t xml:space="preserve">Avrupa Birliği’ne aday ülkelerde </w:t>
      </w:r>
      <w:r w:rsidR="008A5CA4" w:rsidRPr="00CD6884">
        <w:rPr>
          <w:rFonts w:cstheme="minorHAnsi"/>
          <w:sz w:val="24"/>
          <w:szCs w:val="24"/>
        </w:rPr>
        <w:t xml:space="preserve">AB </w:t>
      </w:r>
      <w:r w:rsidRPr="00CD6884">
        <w:rPr>
          <w:rFonts w:cstheme="minorHAnsi"/>
          <w:sz w:val="24"/>
          <w:szCs w:val="24"/>
        </w:rPr>
        <w:t>katılım öncesi yardımları kategorisinde bu alanda uygulanan ilk proje olma özelliğine sahip BAKK projesi</w:t>
      </w:r>
      <w:r w:rsidR="00DA0173" w:rsidRPr="00CD6884">
        <w:rPr>
          <w:rFonts w:cstheme="minorHAnsi"/>
          <w:sz w:val="24"/>
          <w:szCs w:val="24"/>
        </w:rPr>
        <w:t xml:space="preserve">, Bölgesel Rekabet Edilebilirlik </w:t>
      </w:r>
      <w:r w:rsidR="00463817" w:rsidRPr="00CD6884">
        <w:rPr>
          <w:rFonts w:cstheme="minorHAnsi"/>
          <w:sz w:val="24"/>
          <w:szCs w:val="24"/>
        </w:rPr>
        <w:t>Operasyonel</w:t>
      </w:r>
      <w:r w:rsidR="00DA0173" w:rsidRPr="00CD6884">
        <w:rPr>
          <w:rFonts w:cstheme="minorHAnsi"/>
          <w:sz w:val="24"/>
          <w:szCs w:val="24"/>
        </w:rPr>
        <w:t xml:space="preserve"> Programının “Finansal Araçların Oluşturulması ve Geliştirilmesi Tedbiri” altında finanse edilmiştir. Bütçesi 32 milyon avro olan </w:t>
      </w:r>
      <w:r w:rsidR="00DA0173" w:rsidRPr="00CD6884">
        <w:rPr>
          <w:rFonts w:cstheme="minorHAnsi"/>
          <w:sz w:val="24"/>
          <w:szCs w:val="24"/>
        </w:rPr>
        <w:lastRenderedPageBreak/>
        <w:t>proje 16 Temmuz 2010 tarihinde,  gerçekleştirilen proje tanıt</w:t>
      </w:r>
      <w:r w:rsidR="00B00C64" w:rsidRPr="00CD6884">
        <w:rPr>
          <w:rFonts w:cstheme="minorHAnsi"/>
          <w:sz w:val="24"/>
          <w:szCs w:val="24"/>
        </w:rPr>
        <w:t xml:space="preserve">ım toplantısıyla başlatılmıştır veGümrük ve Ticaret Bakanlığı İç Ticaret Genel Müdürlüğü ile Avrupa Yatırım Bankası, Avrupa Yatırım Fonu, Kredi Garanti Fonu A.Ş. tarafından aracı bankalar ile işbirliği </w:t>
      </w:r>
      <w:r w:rsidR="001D0700" w:rsidRPr="00CD6884">
        <w:rPr>
          <w:rFonts w:cstheme="minorHAnsi"/>
          <w:sz w:val="24"/>
          <w:szCs w:val="24"/>
        </w:rPr>
        <w:t>çerçevesinde</w:t>
      </w:r>
      <w:r w:rsidR="00B00C64" w:rsidRPr="00CD6884">
        <w:rPr>
          <w:rFonts w:cstheme="minorHAnsi"/>
          <w:sz w:val="24"/>
          <w:szCs w:val="24"/>
        </w:rPr>
        <w:t xml:space="preserve"> uygulanmaktadır.</w:t>
      </w:r>
      <w:r w:rsidR="00604605" w:rsidRPr="00CD6884">
        <w:rPr>
          <w:rFonts w:cstheme="minorHAnsi"/>
          <w:sz w:val="24"/>
          <w:szCs w:val="24"/>
        </w:rPr>
        <w:t>Projenin fiili hayatta yer almasının önündeki en önemli aşamalardan biri olan aracı bankalarla uygulama anlaşmalarının imzalanması</w:t>
      </w:r>
      <w:r w:rsidR="00EA02C1" w:rsidRPr="00CD6884">
        <w:rPr>
          <w:rFonts w:cstheme="minorHAnsi"/>
          <w:sz w:val="24"/>
          <w:szCs w:val="24"/>
        </w:rPr>
        <w:t>,</w:t>
      </w:r>
      <w:r w:rsidR="00604605" w:rsidRPr="00CD6884">
        <w:rPr>
          <w:rFonts w:cstheme="minorHAnsi"/>
          <w:sz w:val="24"/>
          <w:szCs w:val="24"/>
        </w:rPr>
        <w:t xml:space="preserve"> 22 Eki</w:t>
      </w:r>
      <w:r w:rsidR="00EA02C1" w:rsidRPr="00CD6884">
        <w:rPr>
          <w:rFonts w:cstheme="minorHAnsi"/>
          <w:sz w:val="24"/>
          <w:szCs w:val="24"/>
        </w:rPr>
        <w:t>m 2010 tarihinde gerçekleştirilerek aşılmıştır</w:t>
      </w:r>
      <w:r w:rsidR="00604605" w:rsidRPr="00CD6884">
        <w:rPr>
          <w:rFonts w:cstheme="minorHAnsi"/>
          <w:sz w:val="24"/>
          <w:szCs w:val="24"/>
        </w:rPr>
        <w:t xml:space="preserve">. </w:t>
      </w:r>
      <w:r w:rsidR="00BC1978" w:rsidRPr="00CD6884">
        <w:rPr>
          <w:rFonts w:cstheme="minorHAnsi"/>
          <w:sz w:val="24"/>
          <w:szCs w:val="24"/>
        </w:rPr>
        <w:t xml:space="preserve">Sonuç olarak, </w:t>
      </w:r>
      <w:r w:rsidR="00EA02C1" w:rsidRPr="00CD6884">
        <w:rPr>
          <w:rFonts w:cstheme="minorHAnsi"/>
          <w:sz w:val="24"/>
          <w:szCs w:val="24"/>
        </w:rPr>
        <w:t>hâlihazırda</w:t>
      </w:r>
      <w:r w:rsidR="00BC1978" w:rsidRPr="00CD6884">
        <w:rPr>
          <w:rFonts w:cstheme="minorHAnsi"/>
          <w:sz w:val="24"/>
          <w:szCs w:val="24"/>
        </w:rPr>
        <w:t xml:space="preserve"> bankalar bahsedilen bölgelerdeki KOBİ’lerin kredi ihtiyaçlarını </w:t>
      </w:r>
      <w:r w:rsidR="00EA02C1" w:rsidRPr="00CD6884">
        <w:rPr>
          <w:rFonts w:cstheme="minorHAnsi"/>
          <w:sz w:val="24"/>
          <w:szCs w:val="24"/>
        </w:rPr>
        <w:t xml:space="preserve">sağlanan kredi garantisi sayesinde </w:t>
      </w:r>
      <w:r w:rsidR="00BC1978" w:rsidRPr="00CD6884">
        <w:rPr>
          <w:rFonts w:cstheme="minorHAnsi"/>
          <w:sz w:val="24"/>
          <w:szCs w:val="24"/>
        </w:rPr>
        <w:t>gidermeye başlamışlardır.</w:t>
      </w:r>
    </w:p>
    <w:p w:rsidR="00830D63" w:rsidRPr="00CD6884" w:rsidRDefault="00704AD6" w:rsidP="00BC1978">
      <w:pPr>
        <w:ind w:firstLine="708"/>
        <w:jc w:val="both"/>
        <w:rPr>
          <w:rFonts w:cstheme="minorHAnsi"/>
          <w:sz w:val="24"/>
          <w:szCs w:val="24"/>
        </w:rPr>
      </w:pPr>
      <w:r>
        <w:rPr>
          <w:rFonts w:cstheme="minorHAnsi"/>
          <w:noProof/>
          <w:sz w:val="24"/>
          <w:szCs w:val="24"/>
          <w:lang w:eastAsia="tr-TR"/>
        </w:rPr>
        <w:pict>
          <v:shapetype id="_x0000_t202" coordsize="21600,21600" o:spt="202" path="m,l,21600r21600,l21600,xe">
            <v:stroke joinstyle="miter"/>
            <v:path gradientshapeok="t" o:connecttype="rect"/>
          </v:shapetype>
          <v:shape id="Metin Kutusu 42" o:spid="_x0000_s1027" type="#_x0000_t202" style="position:absolute;left:0;text-align:left;margin-left:121.15pt;margin-top:8.5pt;width:195.65pt;height:138pt;z-index:251662336;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D7AMAAFoKAAAOAAAAZHJzL2Uyb0RvYy54bWysVktv2zgQvhfY/0Dw3liSJb8QpXDsuCia&#10;tEHTRc40RVkEKFJL0rHTX79DUlKdWi3aIjk41HA4z28el++OtUBPTBuuZI7jiwgjJqkquNzl+N+v&#10;m7czjIwlsiBCSZbjZ2bwu6t/3lwemgVLVKVEwTQCIdIsDk2OK2ubxWhkaMVqYi5UwyRclkrXxMKn&#10;3o0KTQ4gvRajJIomo4PSRaMVZcYAdR0u8ZWXX5aM2s9laZhFIsdgm/W/2v9u3e/o6pIsdpo0Faet&#10;GeQvrKgJl6C0F7UmlqC95meiak61Mqq0F1TVI1WWnDLvA3gTRz9481CRhnlfIDim6cNkXk8s/fR0&#10;rxEvcpwmGElSQ47umOUSfdzbvdkjIEOMDo1ZAOtDA8z2eK2OkOuOboDoXD+Wunb/wSkE9xDt5z7C&#10;7GgRBWKSztJplmFE4S6eZskk8jkYfX/eaGPfM1Ujd8ixhhT6yJKnW2PBFGDtWNqAFxsuhD8bYAkH&#10;1CiIUuRfGr3broRGTwRAsF7dXG8yZzsI2plTbsATWOMoL17Mxsvpajz4Ip3/6YvMKTnXsfF/gzqy&#10;dPDFfDXJJsNW/eTFLBpHydrrFvv6ThUhIJOxk+/rAMhQLYE8nrZkCFMbjoGQTYaNW0VZkt4MujOP&#10;B925uV4v1+nwi2EdGYAnXp288PlsASAAwMS1oDgDhDmNyFAiGOC8wxsUfQ8cIdEhx5NxFlLTXaFS&#10;cOhJEjoXRlrZR24rX5MO/a8AuNlgKH6Bt9jn6gyh08lscz0/CYVDdqiABMIdbP1dTP8FQl2IzzH9&#10;C4ROflI3AaFDtTkbrptXBZpD5pAjv4e0Wfu8B5pvkGRhuWBfoIm1XvWoA7gK6VLJ/JjqOpdQBwQ8&#10;AY1tVN0wZH0HI5QyaZOzQp5mznpfyEQ0FQl17Iqng7yfqk5QqGRQ5fRzKZl+qIoDKrjruFkEuAzp&#10;fKnYHgOSTqRPu+bhukTH7aX3Uv3XCx8N2M/GhdNNYeBo0rZ6pW2l2lm80Ura4Izgu8p+4TukORS0&#10;rTRj9xaDsTDGPYvX3Ys0zbjwAu+IZZq7nl8zS4QvDzfHwrxyJ3vcHv3s62fZVhXPMOKg1l2jQKah&#10;Gw5j6JYYe080bAZAhG3HfoafEuKXY9WeMKqU/jZEd/wwsOEWowNsGjk2/+2JhpYiPkg/pJD1h3mc&#10;piBfd9TtKVXu65UCX2JvlT86Xiu6Y6lV/QjL0NJpgysiKeh0IWqPKxv2HlimKFsuPRMsIQ2xt/Kh&#10;oV1Pc8P16/GR6KZNi4Xh/Ul1uwhZ/DCIA69LplTLvVUl91B38Q3RBAC4D1hgAuzCsuU2pNNvz/V9&#10;Jbz6HwAA//8DAFBLAwQUAAYACAAAACEASnSje98AAAAKAQAADwAAAGRycy9kb3ducmV2LnhtbEyP&#10;y07DMBBF90j8gzVI7KjduKQQ4lSoKuqKRUsltm48TSL8iGI3DXw9w6osR/fozrnlanKWjTjELngF&#10;85kAhr4OpvONgsPH28MTsJi0N9oGjwq+McKqur0pdWHCxe9w3KeGUYmPhVbQptQXnMe6RafjLPTo&#10;KTuFwelE59BwM+gLlTvLMyFy7nTn6UOre1y3WH/tz07BaWEP77t6u15uHrfxR2w+x7mQSt3fTa8v&#10;wBJO6QrDnz6pQ0VOx3D2JjKrIFtkklAKlrSJgFzKHNiRkmcpgFcl/z+h+gUAAP//AwBQSwECLQAU&#10;AAYACAAAACEAtoM4kv4AAADhAQAAEwAAAAAAAAAAAAAAAAAAAAAAW0NvbnRlbnRfVHlwZXNdLnht&#10;bFBLAQItABQABgAIAAAAIQA4/SH/1gAAAJQBAAALAAAAAAAAAAAAAAAAAC8BAABfcmVscy8ucmVs&#10;c1BLAQItABQABgAIAAAAIQDBkT/D7AMAAFoKAAAOAAAAAAAAAAAAAAAAAC4CAABkcnMvZTJvRG9j&#10;LnhtbFBLAQItABQABgAIAAAAIQBKdKN73wAAAAoBAAAPAAAAAAAAAAAAAAAAAEYGAABkcnMvZG93&#10;bnJldi54bWxQSwUGAAAAAAQABADzAAAAUgcAAAAA&#10;" fillcolor="#dcebf5" strokeweight=".5pt">
            <v:fill color2="#55261c" angle="190" colors="0 #dcebf5;13107f #83a7c3;32113f #83a7c3;34079f white;35389f #9c6563;35389f #c86662;41943f #c0524e;59638f #ebdad4;61604f #55261c" focus="100%" type="gradient">
              <o:fill v:ext="view" type="gradientUnscaled"/>
            </v:fill>
            <v:textbox inset="0,7.2pt,0,7.2pt">
              <w:txbxContent>
                <w:p w:rsidR="00A906CA" w:rsidRPr="00F6667E" w:rsidRDefault="00A906CA">
                  <w:pPr>
                    <w:pStyle w:val="Trnak"/>
                    <w:pBdr>
                      <w:top w:val="single" w:sz="48" w:space="8" w:color="4F81BD" w:themeColor="accent1"/>
                      <w:bottom w:val="single" w:sz="48" w:space="8" w:color="4F81BD" w:themeColor="accent1"/>
                    </w:pBdr>
                    <w:spacing w:line="300" w:lineRule="auto"/>
                    <w:jc w:val="center"/>
                    <w:rPr>
                      <w:rFonts w:eastAsiaTheme="minorHAnsi"/>
                      <w:b/>
                      <w:color w:val="403152" w:themeColor="accent4" w:themeShade="80"/>
                      <w:sz w:val="21"/>
                    </w:rPr>
                  </w:pPr>
                  <w:r w:rsidRPr="00F6667E">
                    <w:rPr>
                      <w:b/>
                      <w:color w:val="403152" w:themeColor="accent4" w:themeShade="80"/>
                      <w:sz w:val="24"/>
                    </w:rPr>
                    <w:t xml:space="preserve">Tahmini temin tarihi 2012 yılının ikinci çeyreği olan BAKK Projesi İkinci Bileşen kapsamındaki kredilerin % 90’lık kısmı, 2011 Temmuz ayı itibarıyla KOBİ’lere ulaştırılmıştır. </w:t>
                  </w:r>
                </w:p>
              </w:txbxContent>
            </v:textbox>
            <w10:wrap type="square" anchorx="margin"/>
          </v:shape>
        </w:pict>
      </w:r>
      <w:r w:rsidR="003D4323" w:rsidRPr="00CD6884">
        <w:rPr>
          <w:rFonts w:cstheme="minorHAnsi"/>
          <w:sz w:val="24"/>
          <w:szCs w:val="24"/>
        </w:rPr>
        <w:t>Söz konusu 32 milyon a</w:t>
      </w:r>
      <w:r w:rsidR="003278DC" w:rsidRPr="00CD6884">
        <w:rPr>
          <w:rFonts w:cstheme="minorHAnsi"/>
          <w:sz w:val="24"/>
          <w:szCs w:val="24"/>
        </w:rPr>
        <w:t xml:space="preserve">vroluk proje bütçesi üç bileşenden oluşan bir çerçeve içerisinde </w:t>
      </w:r>
      <w:r w:rsidR="000F0C28" w:rsidRPr="00CD6884">
        <w:rPr>
          <w:rFonts w:cstheme="minorHAnsi"/>
          <w:sz w:val="24"/>
          <w:szCs w:val="24"/>
        </w:rPr>
        <w:t>değerlen</w:t>
      </w:r>
      <w:r w:rsidR="00CD6884">
        <w:rPr>
          <w:rFonts w:cstheme="minorHAnsi"/>
          <w:sz w:val="24"/>
          <w:szCs w:val="24"/>
        </w:rPr>
        <w:t>-</w:t>
      </w:r>
      <w:r w:rsidR="000F0C28" w:rsidRPr="00CD6884">
        <w:rPr>
          <w:rFonts w:cstheme="minorHAnsi"/>
          <w:sz w:val="24"/>
          <w:szCs w:val="24"/>
        </w:rPr>
        <w:t>dirilmektedir</w:t>
      </w:r>
      <w:r w:rsidR="003D4323" w:rsidRPr="00CD6884">
        <w:rPr>
          <w:rFonts w:cstheme="minorHAnsi"/>
          <w:sz w:val="24"/>
          <w:szCs w:val="24"/>
        </w:rPr>
        <w:t xml:space="preserve">. </w:t>
      </w:r>
      <w:r w:rsidR="003278DC" w:rsidRPr="00CD6884">
        <w:rPr>
          <w:rFonts w:cstheme="minorHAnsi"/>
          <w:sz w:val="24"/>
          <w:szCs w:val="24"/>
        </w:rPr>
        <w:t>‘</w:t>
      </w:r>
      <w:r w:rsidR="00463817" w:rsidRPr="00CD6884">
        <w:rPr>
          <w:rFonts w:cstheme="minorHAnsi"/>
          <w:sz w:val="24"/>
          <w:szCs w:val="24"/>
        </w:rPr>
        <w:t>Mikro krediler için garanti</w:t>
      </w:r>
      <w:r w:rsidR="003D4323" w:rsidRPr="00CD6884">
        <w:rPr>
          <w:rFonts w:cstheme="minorHAnsi"/>
          <w:sz w:val="24"/>
          <w:szCs w:val="24"/>
        </w:rPr>
        <w:t>,</w:t>
      </w:r>
      <w:r w:rsidR="00463817" w:rsidRPr="00CD6884">
        <w:rPr>
          <w:rFonts w:cstheme="minorHAnsi"/>
          <w:sz w:val="24"/>
          <w:szCs w:val="24"/>
        </w:rPr>
        <w:t xml:space="preserve"> KOBİ’ler için garanti</w:t>
      </w:r>
      <w:r w:rsidR="003D4323" w:rsidRPr="00CD6884">
        <w:rPr>
          <w:rFonts w:cstheme="minorHAnsi"/>
          <w:sz w:val="24"/>
          <w:szCs w:val="24"/>
        </w:rPr>
        <w:t xml:space="preserve">, </w:t>
      </w:r>
      <w:r w:rsidR="00463817" w:rsidRPr="00CD6884">
        <w:rPr>
          <w:rFonts w:cstheme="minorHAnsi"/>
          <w:sz w:val="24"/>
          <w:szCs w:val="24"/>
        </w:rPr>
        <w:t>Kapasite artırımı &amp; Tanıtım</w:t>
      </w:r>
      <w:r w:rsidR="003278DC" w:rsidRPr="00CD6884">
        <w:rPr>
          <w:rFonts w:cstheme="minorHAnsi"/>
          <w:sz w:val="24"/>
          <w:szCs w:val="24"/>
        </w:rPr>
        <w:t>’</w:t>
      </w:r>
      <w:r w:rsidR="003D4323" w:rsidRPr="00CD6884">
        <w:rPr>
          <w:rFonts w:cstheme="minorHAnsi"/>
          <w:sz w:val="24"/>
          <w:szCs w:val="24"/>
        </w:rPr>
        <w:t xml:space="preserve"> bileşen</w:t>
      </w:r>
      <w:r w:rsidR="00F6667E">
        <w:rPr>
          <w:rFonts w:cstheme="minorHAnsi"/>
          <w:sz w:val="24"/>
          <w:szCs w:val="24"/>
        </w:rPr>
        <w:t>-</w:t>
      </w:r>
      <w:r w:rsidR="003D4323" w:rsidRPr="00CD6884">
        <w:rPr>
          <w:rFonts w:cstheme="minorHAnsi"/>
          <w:sz w:val="24"/>
          <w:szCs w:val="24"/>
        </w:rPr>
        <w:t xml:space="preserve">lerinin her birine </w:t>
      </w:r>
      <w:r w:rsidR="003278DC" w:rsidRPr="00CD6884">
        <w:rPr>
          <w:rFonts w:cstheme="minorHAnsi"/>
          <w:sz w:val="24"/>
          <w:szCs w:val="24"/>
        </w:rPr>
        <w:t xml:space="preserve">proje bütçesinden ayrılan pay </w:t>
      </w:r>
      <w:r w:rsidR="003D4323" w:rsidRPr="00CD6884">
        <w:rPr>
          <w:rFonts w:cstheme="minorHAnsi"/>
          <w:sz w:val="24"/>
          <w:szCs w:val="24"/>
        </w:rPr>
        <w:t xml:space="preserve">farklılık göstermektedir. </w:t>
      </w:r>
    </w:p>
    <w:p w:rsidR="00CD6884" w:rsidRDefault="00BF05DC" w:rsidP="00BC1978">
      <w:pPr>
        <w:ind w:firstLine="708"/>
        <w:jc w:val="both"/>
        <w:rPr>
          <w:rFonts w:cstheme="minorHAnsi"/>
          <w:sz w:val="24"/>
          <w:szCs w:val="24"/>
        </w:rPr>
      </w:pPr>
      <w:r w:rsidRPr="00CD6884">
        <w:rPr>
          <w:rFonts w:cstheme="minorHAnsi"/>
          <w:sz w:val="24"/>
          <w:szCs w:val="24"/>
        </w:rPr>
        <w:t>“Birinci bileşen içerisinde Kredi Garanti Fonu A.Ş.’ne sağlanacak 5 milyon Avroluk kontr-garanti desteği ile teminat talebinde bulunan toplam 1500 mikro-işletmenin, işletme başına maksimum 25.000 Avroya kadar teminatlandırılmış krediye erişimi mümkün olacaktır. Bu şekilde mikro işletmeler için toplam 37,5 milyon Avroluk kredi hacmi yaratılması beklenmektedir.”</w:t>
      </w:r>
      <w:r w:rsidR="00F560CD" w:rsidRPr="00CD6884">
        <w:rPr>
          <w:rStyle w:val="DipnotBavurusu"/>
          <w:rFonts w:cstheme="minorHAnsi"/>
          <w:sz w:val="24"/>
          <w:szCs w:val="24"/>
        </w:rPr>
        <w:footnoteReference w:id="5"/>
      </w:r>
      <w:r w:rsidR="00BC1978" w:rsidRPr="00CD6884">
        <w:rPr>
          <w:rFonts w:cstheme="minorHAnsi"/>
          <w:sz w:val="24"/>
          <w:szCs w:val="24"/>
        </w:rPr>
        <w:t xml:space="preserve">Bankalarla imzalanan </w:t>
      </w:r>
      <w:r w:rsidR="00BC1978" w:rsidRPr="00CD6884">
        <w:rPr>
          <w:rFonts w:cstheme="minorHAnsi"/>
          <w:sz w:val="24"/>
          <w:szCs w:val="24"/>
        </w:rPr>
        <w:lastRenderedPageBreak/>
        <w:t>uygulama anlaşmaları</w:t>
      </w:r>
      <w:r w:rsidR="00522E9E" w:rsidRPr="00CD6884">
        <w:rPr>
          <w:rFonts w:cstheme="minorHAnsi"/>
          <w:sz w:val="24"/>
          <w:szCs w:val="24"/>
        </w:rPr>
        <w:t>nı</w:t>
      </w:r>
      <w:r w:rsidR="00BC1978" w:rsidRPr="00CD6884">
        <w:rPr>
          <w:rFonts w:cstheme="minorHAnsi"/>
          <w:sz w:val="24"/>
          <w:szCs w:val="24"/>
        </w:rPr>
        <w:t xml:space="preserve"> ve bankaların kredi</w:t>
      </w:r>
      <w:r w:rsidR="00050961" w:rsidRPr="00CD6884">
        <w:rPr>
          <w:rFonts w:cstheme="minorHAnsi"/>
          <w:sz w:val="24"/>
          <w:szCs w:val="24"/>
        </w:rPr>
        <w:t>lendirme yapabilmeleri için gerekli işlemleri</w:t>
      </w:r>
      <w:r w:rsidR="00BC1978" w:rsidRPr="00CD6884">
        <w:rPr>
          <w:rFonts w:cstheme="minorHAnsi"/>
          <w:sz w:val="24"/>
          <w:szCs w:val="24"/>
        </w:rPr>
        <w:t xml:space="preserve"> tamamla</w:t>
      </w:r>
      <w:r w:rsidR="003278DC" w:rsidRPr="00CD6884">
        <w:rPr>
          <w:rFonts w:cstheme="minorHAnsi"/>
          <w:sz w:val="24"/>
          <w:szCs w:val="24"/>
        </w:rPr>
        <w:t xml:space="preserve">malarını takiben başlayan projenin </w:t>
      </w:r>
      <w:r w:rsidR="00BC1978" w:rsidRPr="00CD6884">
        <w:rPr>
          <w:rFonts w:cstheme="minorHAnsi"/>
          <w:sz w:val="24"/>
          <w:szCs w:val="24"/>
        </w:rPr>
        <w:t>geldiği durum itibarıyla birinci bileş</w:t>
      </w:r>
      <w:r w:rsidR="003278DC" w:rsidRPr="00CD6884">
        <w:rPr>
          <w:rFonts w:cstheme="minorHAnsi"/>
          <w:sz w:val="24"/>
          <w:szCs w:val="24"/>
        </w:rPr>
        <w:t>en kapsamında 50 mikro-işletme</w:t>
      </w:r>
      <w:r w:rsidR="00BC1978" w:rsidRPr="00CD6884">
        <w:rPr>
          <w:rFonts w:cstheme="minorHAnsi"/>
          <w:sz w:val="24"/>
          <w:szCs w:val="24"/>
        </w:rPr>
        <w:t>ye kredi desteği sağlanmış ve bu destek toplamda 1.</w:t>
      </w:r>
      <w:r w:rsidR="003822E4" w:rsidRPr="00CD6884">
        <w:rPr>
          <w:rFonts w:cstheme="minorHAnsi"/>
          <w:sz w:val="24"/>
          <w:szCs w:val="24"/>
        </w:rPr>
        <w:t>1 milyon a</w:t>
      </w:r>
      <w:r w:rsidR="00BC1978" w:rsidRPr="00CD6884">
        <w:rPr>
          <w:rFonts w:cstheme="minorHAnsi"/>
          <w:sz w:val="24"/>
          <w:szCs w:val="24"/>
        </w:rPr>
        <w:t>vro miktarına ulaşmıştır.</w:t>
      </w:r>
      <w:r w:rsidR="003822E4" w:rsidRPr="00CD6884">
        <w:rPr>
          <w:rFonts w:cstheme="minorHAnsi"/>
          <w:sz w:val="24"/>
          <w:szCs w:val="24"/>
        </w:rPr>
        <w:t xml:space="preserve">Kredi para birimlerinin bileşenlerde avro cinsinden belirtilmesi </w:t>
      </w:r>
      <w:r w:rsidR="009B5116" w:rsidRPr="00CD6884">
        <w:rPr>
          <w:rFonts w:cstheme="minorHAnsi"/>
          <w:sz w:val="24"/>
          <w:szCs w:val="24"/>
        </w:rPr>
        <w:t xml:space="preserve">özellikle son dönemde yaşanan küresel etkenler göz önüne alındığında </w:t>
      </w:r>
      <w:r w:rsidR="003822E4" w:rsidRPr="00CD6884">
        <w:rPr>
          <w:rFonts w:cstheme="minorHAnsi"/>
          <w:sz w:val="24"/>
          <w:szCs w:val="24"/>
        </w:rPr>
        <w:t xml:space="preserve">sürekli güncellenmesi gereken bir </w:t>
      </w:r>
      <w:r w:rsidR="009B5116" w:rsidRPr="00CD6884">
        <w:rPr>
          <w:rFonts w:cstheme="minorHAnsi"/>
          <w:sz w:val="24"/>
          <w:szCs w:val="24"/>
        </w:rPr>
        <w:t>miktarı gösteriyor gibi gözükse de</w:t>
      </w:r>
      <w:r w:rsidR="003278DC" w:rsidRPr="00CD6884">
        <w:rPr>
          <w:rFonts w:cstheme="minorHAnsi"/>
          <w:sz w:val="24"/>
          <w:szCs w:val="24"/>
        </w:rPr>
        <w:t>;</w:t>
      </w:r>
      <w:r w:rsidR="00050961" w:rsidRPr="00CD6884">
        <w:rPr>
          <w:rFonts w:cstheme="minorHAnsi"/>
          <w:sz w:val="24"/>
          <w:szCs w:val="24"/>
        </w:rPr>
        <w:t>söz konusu</w:t>
      </w:r>
      <w:r w:rsidR="003278DC" w:rsidRPr="00CD6884">
        <w:rPr>
          <w:rFonts w:cstheme="minorHAnsi"/>
          <w:sz w:val="24"/>
          <w:szCs w:val="24"/>
        </w:rPr>
        <w:t xml:space="preserve"> avro</w:t>
      </w:r>
      <w:r w:rsidR="009B5116" w:rsidRPr="00CD6884">
        <w:rPr>
          <w:rFonts w:cstheme="minorHAnsi"/>
          <w:sz w:val="24"/>
          <w:szCs w:val="24"/>
        </w:rPr>
        <w:t xml:space="preserve"> kur</w:t>
      </w:r>
      <w:r w:rsidR="003278DC" w:rsidRPr="00CD6884">
        <w:rPr>
          <w:rFonts w:cstheme="minorHAnsi"/>
          <w:sz w:val="24"/>
          <w:szCs w:val="24"/>
        </w:rPr>
        <w:t>u</w:t>
      </w:r>
      <w:r w:rsidR="009B5116" w:rsidRPr="00CD6884">
        <w:rPr>
          <w:rFonts w:cstheme="minorHAnsi"/>
          <w:sz w:val="24"/>
          <w:szCs w:val="24"/>
        </w:rPr>
        <w:t xml:space="preserve"> anlaşmanın imzalandığı dönem şartlarında belirlenen ve baz alınan kurdur. Bu da örneğin ilk bileşen için 25,000 avro 49,970 TL’dir (50,000 TL). </w:t>
      </w:r>
    </w:p>
    <w:p w:rsidR="00830D63" w:rsidRPr="00CD6884" w:rsidRDefault="00830D63" w:rsidP="00BC1978">
      <w:pPr>
        <w:ind w:firstLine="708"/>
        <w:jc w:val="both"/>
        <w:rPr>
          <w:rFonts w:cstheme="minorHAnsi"/>
          <w:sz w:val="24"/>
          <w:szCs w:val="24"/>
        </w:rPr>
      </w:pPr>
      <w:r w:rsidRPr="00CD6884">
        <w:rPr>
          <w:rFonts w:cstheme="minorHAnsi"/>
          <w:sz w:val="24"/>
          <w:szCs w:val="24"/>
        </w:rPr>
        <w:t>Projenin ikinci bileşeninde ise “Avrupa Yatırım Fonu aracılığı ile sağlanacak toplam 25 milyon Avroluk kredi garantisi desteği çıpa olarak kullanılmak</w:t>
      </w:r>
      <w:r w:rsidR="00CD6884">
        <w:rPr>
          <w:rFonts w:cstheme="minorHAnsi"/>
          <w:sz w:val="24"/>
          <w:szCs w:val="24"/>
        </w:rPr>
        <w:t>-</w:t>
      </w:r>
      <w:r w:rsidRPr="00CD6884">
        <w:rPr>
          <w:rFonts w:cstheme="minorHAnsi"/>
          <w:sz w:val="24"/>
          <w:szCs w:val="24"/>
        </w:rPr>
        <w:t>tadır.”</w:t>
      </w:r>
      <w:r w:rsidRPr="00CD6884">
        <w:rPr>
          <w:rStyle w:val="DipnotBavurusu"/>
          <w:rFonts w:cstheme="minorHAnsi"/>
          <w:sz w:val="24"/>
          <w:szCs w:val="24"/>
        </w:rPr>
        <w:footnoteReference w:id="6"/>
      </w:r>
      <w:r w:rsidRPr="00CD6884">
        <w:rPr>
          <w:rFonts w:cstheme="minorHAnsi"/>
          <w:sz w:val="24"/>
          <w:szCs w:val="24"/>
        </w:rPr>
        <w:t xml:space="preserve"> Bu bileşende kre</w:t>
      </w:r>
      <w:r w:rsidR="00CD6884">
        <w:rPr>
          <w:rFonts w:cstheme="minorHAnsi"/>
          <w:sz w:val="24"/>
          <w:szCs w:val="24"/>
        </w:rPr>
        <w:t>-</w:t>
      </w:r>
      <w:r w:rsidRPr="00CD6884">
        <w:rPr>
          <w:rFonts w:cstheme="minorHAnsi"/>
          <w:sz w:val="24"/>
          <w:szCs w:val="24"/>
        </w:rPr>
        <w:t>di verilen işletmeler mikro işletme kategorisinde</w:t>
      </w:r>
      <w:r w:rsidR="00050961" w:rsidRPr="00CD6884">
        <w:rPr>
          <w:rFonts w:cstheme="minorHAnsi"/>
          <w:sz w:val="24"/>
          <w:szCs w:val="24"/>
        </w:rPr>
        <w:t xml:space="preserve"> değil; KOBİ büyüklüğündedir. Bileşen doğrultusunda, t</w:t>
      </w:r>
      <w:r w:rsidR="005F6F1D" w:rsidRPr="00CD6884">
        <w:rPr>
          <w:rFonts w:cstheme="minorHAnsi"/>
          <w:sz w:val="24"/>
          <w:szCs w:val="24"/>
        </w:rPr>
        <w:t xml:space="preserve">eminat sorunu çeken 2,500 KOBİ tarafından, </w:t>
      </w:r>
      <w:r w:rsidRPr="00CD6884">
        <w:rPr>
          <w:rFonts w:cstheme="minorHAnsi"/>
          <w:sz w:val="24"/>
          <w:szCs w:val="24"/>
        </w:rPr>
        <w:t xml:space="preserve">çıpa olarak kullanılacak garanti </w:t>
      </w:r>
      <w:r w:rsidR="005F6F1D" w:rsidRPr="00CD6884">
        <w:rPr>
          <w:rFonts w:cstheme="minorHAnsi"/>
          <w:sz w:val="24"/>
          <w:szCs w:val="24"/>
        </w:rPr>
        <w:t>sayesinde</w:t>
      </w:r>
      <w:r w:rsidRPr="00CD6884">
        <w:rPr>
          <w:rFonts w:cstheme="minorHAnsi"/>
          <w:sz w:val="24"/>
          <w:szCs w:val="24"/>
        </w:rPr>
        <w:t xml:space="preserve"> alınabilecek maksimum teminatlandırılmış kredi miktarı 200.000 avrodur.</w:t>
      </w:r>
      <w:r w:rsidR="00253363" w:rsidRPr="00CD6884">
        <w:rPr>
          <w:rFonts w:cstheme="minorHAnsi"/>
          <w:sz w:val="24"/>
          <w:szCs w:val="24"/>
        </w:rPr>
        <w:t xml:space="preserve">Avrupa Yatırım Fonu’nun Temmuz 2011 verilerine göre bu bileşen kapsamında </w:t>
      </w:r>
      <w:r w:rsidR="00050961" w:rsidRPr="00CD6884">
        <w:rPr>
          <w:rFonts w:cstheme="minorHAnsi"/>
          <w:sz w:val="24"/>
          <w:szCs w:val="24"/>
        </w:rPr>
        <w:t xml:space="preserve">kredi sağlanan KOBİ sayısı imza tarihinde belirlenen hedefin %90’ına ulaşmıştır </w:t>
      </w:r>
      <w:r w:rsidR="00253363" w:rsidRPr="00CD6884">
        <w:rPr>
          <w:rFonts w:cstheme="minorHAnsi"/>
          <w:sz w:val="24"/>
          <w:szCs w:val="24"/>
        </w:rPr>
        <w:t>(2,300/2,500)</w:t>
      </w:r>
      <w:r w:rsidR="00FD1211" w:rsidRPr="00CD6884">
        <w:rPr>
          <w:rStyle w:val="DipnotBavurusu"/>
          <w:rFonts w:cstheme="minorHAnsi"/>
          <w:sz w:val="24"/>
          <w:szCs w:val="24"/>
        </w:rPr>
        <w:footnoteReference w:id="7"/>
      </w:r>
      <w:r w:rsidR="00253363" w:rsidRPr="00CD6884">
        <w:rPr>
          <w:rFonts w:cstheme="minorHAnsi"/>
          <w:sz w:val="24"/>
          <w:szCs w:val="24"/>
        </w:rPr>
        <w:t xml:space="preserve">. </w:t>
      </w:r>
      <w:r w:rsidR="00FD1211" w:rsidRPr="00CD6884">
        <w:rPr>
          <w:rFonts w:cstheme="minorHAnsi"/>
          <w:sz w:val="24"/>
          <w:szCs w:val="24"/>
        </w:rPr>
        <w:t xml:space="preserve">Ayrıca yine </w:t>
      </w:r>
      <w:r w:rsidR="00FD1211" w:rsidRPr="00CD6884">
        <w:rPr>
          <w:rFonts w:cstheme="minorHAnsi"/>
          <w:sz w:val="24"/>
          <w:szCs w:val="24"/>
        </w:rPr>
        <w:lastRenderedPageBreak/>
        <w:t>AYF’nin açıklamaları göste</w:t>
      </w:r>
      <w:r w:rsidR="00C9747C" w:rsidRPr="00CD6884">
        <w:rPr>
          <w:rFonts w:cstheme="minorHAnsi"/>
          <w:sz w:val="24"/>
          <w:szCs w:val="24"/>
        </w:rPr>
        <w:t>rmektedir ki alınan bu krediler</w:t>
      </w:r>
      <w:r w:rsidR="00FD1211" w:rsidRPr="00CD6884">
        <w:rPr>
          <w:rFonts w:cstheme="minorHAnsi"/>
          <w:sz w:val="24"/>
          <w:szCs w:val="24"/>
        </w:rPr>
        <w:t xml:space="preserve"> KOBİ’ler tarafından “yatırım sermayesi” olarak </w:t>
      </w:r>
      <w:r w:rsidR="00D0254B" w:rsidRPr="00CD6884">
        <w:rPr>
          <w:rFonts w:cstheme="minorHAnsi"/>
          <w:sz w:val="24"/>
          <w:szCs w:val="24"/>
        </w:rPr>
        <w:t>kullanılmamış;</w:t>
      </w:r>
      <w:r w:rsidR="00C9747C" w:rsidRPr="00CD6884">
        <w:rPr>
          <w:rFonts w:cstheme="minorHAnsi"/>
          <w:sz w:val="24"/>
          <w:szCs w:val="24"/>
        </w:rPr>
        <w:t xml:space="preserve">kredilerden </w:t>
      </w:r>
      <w:r w:rsidR="00FD1211" w:rsidRPr="00CD6884">
        <w:rPr>
          <w:rFonts w:cstheme="minorHAnsi"/>
          <w:sz w:val="24"/>
          <w:szCs w:val="24"/>
        </w:rPr>
        <w:t>“işletme sermayesi”</w:t>
      </w:r>
      <w:r w:rsidR="00D0254B" w:rsidRPr="00CD6884">
        <w:rPr>
          <w:rFonts w:cstheme="minorHAnsi"/>
          <w:sz w:val="24"/>
          <w:szCs w:val="24"/>
        </w:rPr>
        <w:t xml:space="preserve"> şeklinde yararlanılmıştır. </w:t>
      </w:r>
      <w:r w:rsidR="002E30CA" w:rsidRPr="00CD6884">
        <w:rPr>
          <w:rFonts w:cstheme="minorHAnsi"/>
          <w:sz w:val="24"/>
          <w:szCs w:val="24"/>
        </w:rPr>
        <w:t xml:space="preserve">Muhabir bankalardan ikisi olan –Vakıfbank ve Denizbank- 2012 yılının ikinci çeyreğinde KOBİ’lere ulaştırılması planlanan kredi desteğinin nerdeyse tamamını, prosedürleri azaltarak ve süreci kolaylaştırarak </w:t>
      </w:r>
      <w:r w:rsidR="00C9747C" w:rsidRPr="00CD6884">
        <w:rPr>
          <w:rFonts w:cstheme="minorHAnsi"/>
          <w:sz w:val="24"/>
          <w:szCs w:val="24"/>
        </w:rPr>
        <w:t>2011 yılının üçüncü çeyreğinde</w:t>
      </w:r>
      <w:r w:rsidR="002E30CA" w:rsidRPr="00CD6884">
        <w:rPr>
          <w:rFonts w:cstheme="minorHAnsi"/>
          <w:sz w:val="24"/>
          <w:szCs w:val="24"/>
        </w:rPr>
        <w:t xml:space="preserve"> gerçekleştirmiştir. Bu durum, yazının önceki kısmında </w:t>
      </w:r>
      <w:r w:rsidR="00DE4BD2" w:rsidRPr="00CD6884">
        <w:rPr>
          <w:rFonts w:cstheme="minorHAnsi"/>
          <w:sz w:val="24"/>
          <w:szCs w:val="24"/>
        </w:rPr>
        <w:t xml:space="preserve">da </w:t>
      </w:r>
      <w:r w:rsidR="002E30CA" w:rsidRPr="00CD6884">
        <w:rPr>
          <w:rFonts w:cstheme="minorHAnsi"/>
          <w:sz w:val="24"/>
          <w:szCs w:val="24"/>
        </w:rPr>
        <w:t xml:space="preserve">dile getirilen bankaların rekabet ortamında krediyi KOBİ’lere temin etmede sağlayabileceği kolaylıklara örnek teşkil etmektedir. </w:t>
      </w:r>
    </w:p>
    <w:p w:rsidR="003B40F3" w:rsidRPr="00CD6884" w:rsidRDefault="00687526" w:rsidP="00687526">
      <w:pPr>
        <w:ind w:firstLine="708"/>
        <w:jc w:val="both"/>
        <w:rPr>
          <w:rFonts w:cstheme="minorHAnsi"/>
          <w:sz w:val="24"/>
          <w:szCs w:val="24"/>
        </w:rPr>
      </w:pPr>
      <w:r w:rsidRPr="00CD6884">
        <w:rPr>
          <w:rFonts w:cstheme="minorHAnsi"/>
          <w:sz w:val="24"/>
          <w:szCs w:val="24"/>
        </w:rPr>
        <w:t>Projenin üçüncü ve son bileşeni kapsamında ise “projenin uygulamasında yer alan kuruluşların kapasitelerinin geliştirmesine ve projenin KOBİ’ler arasında bilinirliğini art</w:t>
      </w:r>
      <w:r w:rsidR="003B40F3" w:rsidRPr="00CD6884">
        <w:rPr>
          <w:rFonts w:cstheme="minorHAnsi"/>
          <w:sz w:val="24"/>
          <w:szCs w:val="24"/>
        </w:rPr>
        <w:t>ırmaya yönelik toplam 2 milyon a</w:t>
      </w:r>
      <w:r w:rsidRPr="00CD6884">
        <w:rPr>
          <w:rFonts w:cstheme="minorHAnsi"/>
          <w:sz w:val="24"/>
          <w:szCs w:val="24"/>
        </w:rPr>
        <w:t>vroluk yardım sağlanacaktır.”</w:t>
      </w:r>
      <w:r w:rsidRPr="00CD6884">
        <w:rPr>
          <w:rStyle w:val="DipnotBavurusu"/>
          <w:rFonts w:cstheme="minorHAnsi"/>
          <w:sz w:val="24"/>
          <w:szCs w:val="24"/>
        </w:rPr>
        <w:footnoteReference w:id="8"/>
      </w:r>
      <w:r w:rsidR="003B40F3" w:rsidRPr="00CD6884">
        <w:rPr>
          <w:rFonts w:cstheme="minorHAnsi"/>
          <w:sz w:val="24"/>
          <w:szCs w:val="24"/>
        </w:rPr>
        <w:t xml:space="preserve">Diğer bir değişle, proje uygulamasının temel dinamiklerinden olan Kredi Garanti Fonu’nun (KGF) kapasite geliştirilmesini içermektedir. Bu amaçla, ilk olarak Frankfurt Okulu’na KGF üzerine teşkilat, çalışma süreçleri, risk yönetimi, SWOT analizi ve tavsiyeleri içeren bir değerlendirme çalışması </w:t>
      </w:r>
      <w:r w:rsidR="00DE4BD2" w:rsidRPr="00CD6884">
        <w:rPr>
          <w:rFonts w:cstheme="minorHAnsi"/>
          <w:sz w:val="24"/>
          <w:szCs w:val="24"/>
        </w:rPr>
        <w:t>yaptırılması öngörülmüştür</w:t>
      </w:r>
      <w:r w:rsidR="003B40F3" w:rsidRPr="00CD6884">
        <w:rPr>
          <w:rFonts w:cstheme="minorHAnsi"/>
          <w:sz w:val="24"/>
          <w:szCs w:val="24"/>
        </w:rPr>
        <w:t xml:space="preserve">. Gelinen aşamada </w:t>
      </w:r>
      <w:r w:rsidR="00DE4BD2" w:rsidRPr="00CD6884">
        <w:rPr>
          <w:rFonts w:cstheme="minorHAnsi"/>
          <w:sz w:val="24"/>
          <w:szCs w:val="24"/>
        </w:rPr>
        <w:t>bahsi geçen çalışma yapılmış ve rapor hazırlanmıştır</w:t>
      </w:r>
      <w:r w:rsidR="003B40F3" w:rsidRPr="00CD6884">
        <w:rPr>
          <w:rFonts w:cstheme="minorHAnsi"/>
          <w:sz w:val="24"/>
          <w:szCs w:val="24"/>
        </w:rPr>
        <w:t>; ve fakat taslak halinde olmasından mütevellit ilgililere ulaştırılamamıştır. Görüldüğü üzere projenin bu ayağı da diğer</w:t>
      </w:r>
      <w:r w:rsidR="00DE4BD2" w:rsidRPr="00CD6884">
        <w:rPr>
          <w:rFonts w:cstheme="minorHAnsi"/>
          <w:sz w:val="24"/>
          <w:szCs w:val="24"/>
        </w:rPr>
        <w:t xml:space="preserve"> süreçleri</w:t>
      </w:r>
      <w:r w:rsidR="003B40F3" w:rsidRPr="00CD6884">
        <w:rPr>
          <w:rFonts w:cstheme="minorHAnsi"/>
          <w:sz w:val="24"/>
          <w:szCs w:val="24"/>
        </w:rPr>
        <w:t xml:space="preserve"> gibi KOBİ’lerin yarınlara dair umutlarına bugünden</w:t>
      </w:r>
      <w:r w:rsidR="00A906CA" w:rsidRPr="00CD6884">
        <w:rPr>
          <w:rFonts w:cstheme="minorHAnsi"/>
          <w:sz w:val="24"/>
          <w:szCs w:val="24"/>
        </w:rPr>
        <w:t xml:space="preserve"> yatırım yapmaları </w:t>
      </w:r>
      <w:r w:rsidR="003B40F3" w:rsidRPr="00CD6884">
        <w:rPr>
          <w:rFonts w:cstheme="minorHAnsi"/>
          <w:sz w:val="24"/>
          <w:szCs w:val="24"/>
        </w:rPr>
        <w:lastRenderedPageBreak/>
        <w:t xml:space="preserve">doğrultusunda cesaretlendirir bir şekilde işlemektedir. </w:t>
      </w:r>
    </w:p>
    <w:p w:rsidR="005540FC" w:rsidRDefault="008866DE" w:rsidP="00A41452">
      <w:pPr>
        <w:ind w:firstLine="708"/>
        <w:jc w:val="both"/>
        <w:rPr>
          <w:rFonts w:cstheme="minorHAnsi"/>
          <w:sz w:val="24"/>
          <w:szCs w:val="24"/>
        </w:rPr>
      </w:pPr>
      <w:r w:rsidRPr="00CD6884">
        <w:rPr>
          <w:rFonts w:cstheme="minorHAnsi"/>
          <w:sz w:val="24"/>
          <w:szCs w:val="24"/>
        </w:rPr>
        <w:t>Sonuç olarak, BAKK Projesi sayesinde, 32 milyon avroluk bir teminatlandırma</w:t>
      </w:r>
      <w:r w:rsidR="00C46F93">
        <w:rPr>
          <w:rFonts w:cstheme="minorHAnsi"/>
          <w:sz w:val="24"/>
          <w:szCs w:val="24"/>
        </w:rPr>
        <w:t xml:space="preserve"> </w:t>
      </w:r>
      <w:r w:rsidR="00DE4BD2" w:rsidRPr="00CD6884">
        <w:rPr>
          <w:rFonts w:cstheme="minorHAnsi"/>
          <w:sz w:val="24"/>
          <w:szCs w:val="24"/>
        </w:rPr>
        <w:t>neticesinde</w:t>
      </w:r>
      <w:r w:rsidRPr="00CD6884">
        <w:rPr>
          <w:rFonts w:cstheme="minorHAnsi"/>
          <w:sz w:val="24"/>
          <w:szCs w:val="24"/>
        </w:rPr>
        <w:t xml:space="preserve"> Mikro İşletmeler ve KOBİ’ler yararına toplamda 500 milyon avroluk bir kredi hacmi yaratılması öngörülmüştür. </w:t>
      </w:r>
      <w:r w:rsidR="00BE655B" w:rsidRPr="00CD6884">
        <w:rPr>
          <w:rFonts w:cstheme="minorHAnsi"/>
          <w:sz w:val="24"/>
          <w:szCs w:val="24"/>
        </w:rPr>
        <w:t xml:space="preserve">Gelinen süreç itibarıyla BAKK Projesi başarılı kılan bir başka nokta ise “BAKK Yönetim Kurulu Üçüncü Toplantısı”nda dile getirilmiştir: şu ana kadar alınan BAKK kredilerinin ortalaması 40,000 avro civarındadır. Yani Avrupa Yatırım Bankası’nın ortalaması 500,000 ila 1,000,000 avro olan diğer kredi programlarıyla karşılaştırıldığında çok küçük olduğu görülmektedir. </w:t>
      </w:r>
      <w:r w:rsidR="00DE4BD2" w:rsidRPr="00CD6884">
        <w:rPr>
          <w:rFonts w:cstheme="minorHAnsi"/>
          <w:sz w:val="24"/>
          <w:szCs w:val="24"/>
        </w:rPr>
        <w:t>Elhasıl</w:t>
      </w:r>
      <w:r w:rsidR="00BE655B" w:rsidRPr="00CD6884">
        <w:rPr>
          <w:rFonts w:cstheme="minorHAnsi"/>
          <w:sz w:val="24"/>
          <w:szCs w:val="24"/>
        </w:rPr>
        <w:t xml:space="preserve"> bu da göstermektedir ki BAKK Projesi sayesinde teminatlandırılan krediler gerçekten daha ziyade </w:t>
      </w:r>
      <w:r w:rsidR="00DE4BD2" w:rsidRPr="00CD6884">
        <w:rPr>
          <w:rFonts w:cstheme="minorHAnsi"/>
          <w:sz w:val="24"/>
          <w:szCs w:val="24"/>
        </w:rPr>
        <w:t xml:space="preserve">zaten </w:t>
      </w:r>
      <w:r w:rsidR="00A41452" w:rsidRPr="00CD6884">
        <w:rPr>
          <w:rFonts w:cstheme="minorHAnsi"/>
          <w:sz w:val="24"/>
          <w:szCs w:val="24"/>
        </w:rPr>
        <w:t xml:space="preserve">amaç kapsamındaki </w:t>
      </w:r>
      <w:r w:rsidR="00BE655B" w:rsidRPr="00CD6884">
        <w:rPr>
          <w:rFonts w:cstheme="minorHAnsi"/>
          <w:sz w:val="24"/>
          <w:szCs w:val="24"/>
        </w:rPr>
        <w:t>küçük KOBİ</w:t>
      </w:r>
      <w:r w:rsidR="0027150B" w:rsidRPr="00CD6884">
        <w:rPr>
          <w:rFonts w:cstheme="minorHAnsi"/>
          <w:sz w:val="24"/>
          <w:szCs w:val="24"/>
        </w:rPr>
        <w:t xml:space="preserve">’lere girmektedir. </w:t>
      </w:r>
    </w:p>
    <w:p w:rsidR="00D03D63" w:rsidRPr="00CD6884" w:rsidRDefault="00D03D63" w:rsidP="00DE7E36">
      <w:pPr>
        <w:ind w:firstLine="708"/>
        <w:jc w:val="both"/>
        <w:rPr>
          <w:rFonts w:cstheme="minorHAnsi"/>
          <w:sz w:val="24"/>
          <w:szCs w:val="24"/>
        </w:rPr>
      </w:pPr>
      <w:bookmarkStart w:id="0" w:name="_GoBack"/>
      <w:r>
        <w:rPr>
          <w:rFonts w:cstheme="minorHAnsi"/>
          <w:sz w:val="24"/>
          <w:szCs w:val="24"/>
        </w:rPr>
        <w:t xml:space="preserve">Yazının girişinde de bahsedildiği üzere, ülke ekonomisinde kapsadıkları büyüklük ve sahip oldukları önem neticesinde, ekonomik gelişmemizin öncelikli gerekliliklerinden biri haline gelmiş olan KOBİ’lerin geliştirilmesi şartı dikkate alınmış ve Bakanlığımızca bu doğrultuda BAKK Projesi gerçekleştirilmiştir. Projeye kısa sürede gösterilen ilgi, ekonominin buna gerekliliğinin ve KOBİ’lerin buna ihtiyacının bir göstergesi durumundadır. BAKK Projesi’nin nihai faydalanıcı durumundaki birim Bakanlığımız İç Ticaret Genel Müdürlüğü’dür. Proje ve tahsis edilen kaynaklardan projenin bitiş tarihi olan 2017 Aralık itibarıyla </w:t>
      </w:r>
      <w:r w:rsidR="00DE7E36">
        <w:rPr>
          <w:rFonts w:cstheme="minorHAnsi"/>
          <w:sz w:val="24"/>
          <w:szCs w:val="24"/>
        </w:rPr>
        <w:t xml:space="preserve">kalacak olanlar, İç Ticaret Genel Müdürlüğü tarafından KOBİ’ler özelinde geliştirilecek projelerde </w:t>
      </w:r>
      <w:r w:rsidR="00DE7E36">
        <w:rPr>
          <w:rFonts w:cstheme="minorHAnsi"/>
          <w:sz w:val="24"/>
          <w:szCs w:val="24"/>
        </w:rPr>
        <w:lastRenderedPageBreak/>
        <w:t xml:space="preserve">kullanılacaktır. Bitiş tarihinden sonra arda kalan bu kaynakların kullanımı, BAKK Projesinin devamının sağlanması veya coğrafi kısıtlamalar getirerek BAKK benzeri projeler geliştirilmesi şeklinde gerçekleştirilebilecektir. </w:t>
      </w:r>
      <w:bookmarkEnd w:id="0"/>
    </w:p>
    <w:sectPr w:rsidR="00D03D63" w:rsidRPr="00CD6884" w:rsidSect="0027150B">
      <w:headerReference w:type="default" r:id="rId9"/>
      <w:pgSz w:w="11906" w:h="16838"/>
      <w:pgMar w:top="1417" w:right="1417" w:bottom="1276"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FFE" w:rsidRDefault="004A4FFE" w:rsidP="00F560CD">
      <w:pPr>
        <w:spacing w:after="0" w:line="240" w:lineRule="auto"/>
      </w:pPr>
      <w:r>
        <w:separator/>
      </w:r>
    </w:p>
  </w:endnote>
  <w:endnote w:type="continuationSeparator" w:id="1">
    <w:p w:rsidR="004A4FFE" w:rsidRDefault="004A4FFE" w:rsidP="00F56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Verdana">
    <w:panose1 w:val="020B0604030504040204"/>
    <w:charset w:val="A2"/>
    <w:family w:val="swiss"/>
    <w:pitch w:val="variable"/>
    <w:sig w:usb0="20000287" w:usb1="00000000" w:usb2="0000000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FFE" w:rsidRDefault="004A4FFE" w:rsidP="00F560CD">
      <w:pPr>
        <w:spacing w:after="0" w:line="240" w:lineRule="auto"/>
      </w:pPr>
      <w:r>
        <w:separator/>
      </w:r>
    </w:p>
  </w:footnote>
  <w:footnote w:type="continuationSeparator" w:id="1">
    <w:p w:rsidR="004A4FFE" w:rsidRDefault="004A4FFE" w:rsidP="00F560CD">
      <w:pPr>
        <w:spacing w:after="0" w:line="240" w:lineRule="auto"/>
      </w:pPr>
      <w:r>
        <w:continuationSeparator/>
      </w:r>
    </w:p>
  </w:footnote>
  <w:footnote w:id="2">
    <w:p w:rsidR="00BC1978" w:rsidRPr="000A4A4E" w:rsidRDefault="00BC1978" w:rsidP="000A4A4E">
      <w:pPr>
        <w:pStyle w:val="DipnotMetni"/>
        <w:jc w:val="both"/>
        <w:rPr>
          <w:sz w:val="16"/>
          <w:szCs w:val="16"/>
        </w:rPr>
      </w:pPr>
      <w:r w:rsidRPr="000A4A4E">
        <w:rPr>
          <w:rStyle w:val="DipnotBavurusu"/>
          <w:sz w:val="16"/>
          <w:szCs w:val="16"/>
        </w:rPr>
        <w:footnoteRef/>
      </w:r>
      <w:r w:rsidRPr="000A4A4E">
        <w:rPr>
          <w:sz w:val="16"/>
          <w:szCs w:val="16"/>
        </w:rPr>
        <w:t xml:space="preserve"> BÜYÜYEN ANADOLUYA KREDİ KOLAYLILARI</w:t>
      </w:r>
    </w:p>
  </w:footnote>
  <w:footnote w:id="3">
    <w:p w:rsidR="00F14A40" w:rsidRDefault="00F14A40">
      <w:pPr>
        <w:pStyle w:val="DipnotMetni"/>
      </w:pPr>
      <w:r>
        <w:rPr>
          <w:rStyle w:val="DipnotBavurusu"/>
        </w:rPr>
        <w:footnoteRef/>
      </w:r>
      <w:r>
        <w:t xml:space="preserve"> Gümrük ve Ticaret Uzman Yardımcısı</w:t>
      </w:r>
    </w:p>
  </w:footnote>
  <w:footnote w:id="4">
    <w:p w:rsidR="000A4A4E" w:rsidRPr="000A4A4E" w:rsidRDefault="00C65AA0" w:rsidP="000A4A4E">
      <w:pPr>
        <w:pStyle w:val="NormalWeb"/>
        <w:jc w:val="both"/>
        <w:rPr>
          <w:rFonts w:ascii="Trebuchet MS" w:hAnsi="Trebuchet MS"/>
          <w:sz w:val="16"/>
          <w:szCs w:val="16"/>
        </w:rPr>
      </w:pPr>
      <w:r w:rsidRPr="00A41452">
        <w:rPr>
          <w:rStyle w:val="DipnotBavurusu"/>
          <w:b/>
          <w:sz w:val="20"/>
          <w:szCs w:val="20"/>
        </w:rPr>
        <w:footnoteRef/>
      </w:r>
      <w:r w:rsidR="000A4A4E" w:rsidRPr="000A4A4E">
        <w:rPr>
          <w:rStyle w:val="baslik21"/>
          <w:b w:val="0"/>
          <w:i w:val="0"/>
          <w:color w:val="auto"/>
          <w:sz w:val="16"/>
          <w:szCs w:val="16"/>
        </w:rPr>
        <w:t>Resmi Gazete - 22 Eylül 2002 - Sayı 24884</w:t>
      </w:r>
    </w:p>
    <w:p w:rsidR="000A4A4E" w:rsidRPr="000A4A4E" w:rsidRDefault="000A4A4E" w:rsidP="000A4A4E">
      <w:pPr>
        <w:pStyle w:val="NormalWeb"/>
        <w:jc w:val="both"/>
        <w:rPr>
          <w:rFonts w:ascii="Trebuchet MS" w:hAnsi="Trebuchet MS"/>
          <w:sz w:val="16"/>
          <w:szCs w:val="16"/>
        </w:rPr>
      </w:pPr>
      <w:r w:rsidRPr="000A4A4E">
        <w:rPr>
          <w:rFonts w:ascii="Verdana" w:hAnsi="Verdana"/>
          <w:bCs/>
          <w:iCs/>
          <w:sz w:val="16"/>
          <w:szCs w:val="16"/>
        </w:rPr>
        <w:t>28/8/2</w:t>
      </w:r>
      <w:r w:rsidR="00664A71">
        <w:rPr>
          <w:rFonts w:ascii="Verdana" w:hAnsi="Verdana"/>
          <w:bCs/>
          <w:iCs/>
          <w:sz w:val="16"/>
          <w:szCs w:val="16"/>
        </w:rPr>
        <w:t xml:space="preserve">002 Tarihli ve 2002/4720 Sayılı </w:t>
      </w:r>
      <w:r w:rsidRPr="000A4A4E">
        <w:rPr>
          <w:rFonts w:ascii="Verdana" w:hAnsi="Verdana"/>
          <w:bCs/>
          <w:iCs/>
          <w:sz w:val="16"/>
          <w:szCs w:val="16"/>
        </w:rPr>
        <w:t>Kararnamenin EkiKARAR</w:t>
      </w:r>
    </w:p>
    <w:p w:rsidR="00C65AA0" w:rsidRPr="000A4A4E" w:rsidRDefault="00C65AA0" w:rsidP="000A4A4E">
      <w:pPr>
        <w:pStyle w:val="DipnotMetni"/>
        <w:jc w:val="both"/>
        <w:rPr>
          <w:sz w:val="16"/>
          <w:szCs w:val="16"/>
        </w:rPr>
      </w:pPr>
    </w:p>
  </w:footnote>
  <w:footnote w:id="5">
    <w:p w:rsidR="00F560CD" w:rsidRPr="000A4A4E" w:rsidRDefault="00F560CD" w:rsidP="000A4A4E">
      <w:pPr>
        <w:pStyle w:val="DipnotMetni"/>
        <w:jc w:val="both"/>
        <w:rPr>
          <w:sz w:val="16"/>
          <w:szCs w:val="16"/>
        </w:rPr>
      </w:pPr>
      <w:r w:rsidRPr="00A41452">
        <w:rPr>
          <w:rStyle w:val="DipnotBavurusu"/>
        </w:rPr>
        <w:footnoteRef/>
      </w:r>
      <w:r w:rsidRPr="000A4A4E">
        <w:rPr>
          <w:sz w:val="16"/>
          <w:szCs w:val="16"/>
        </w:rPr>
        <w:t xml:space="preserve"> İç Ticaret Genel Müdürlüğü </w:t>
      </w:r>
      <w:r w:rsidR="00604605" w:rsidRPr="000A4A4E">
        <w:rPr>
          <w:sz w:val="16"/>
          <w:szCs w:val="16"/>
        </w:rPr>
        <w:t>BAKK Bilgi Notu</w:t>
      </w:r>
    </w:p>
  </w:footnote>
  <w:footnote w:id="6">
    <w:p w:rsidR="00830D63" w:rsidRPr="000A4A4E" w:rsidRDefault="00830D63" w:rsidP="00830D63">
      <w:pPr>
        <w:pStyle w:val="DipnotMetni"/>
        <w:jc w:val="both"/>
        <w:rPr>
          <w:sz w:val="16"/>
          <w:szCs w:val="16"/>
        </w:rPr>
      </w:pPr>
      <w:r>
        <w:rPr>
          <w:rStyle w:val="DipnotBavurusu"/>
        </w:rPr>
        <w:footnoteRef/>
      </w:r>
      <w:r w:rsidRPr="000A4A4E">
        <w:rPr>
          <w:sz w:val="16"/>
          <w:szCs w:val="16"/>
        </w:rPr>
        <w:t>İç Ticaret Genel Müdürlüğü BAKK Bilgi Notu</w:t>
      </w:r>
    </w:p>
    <w:p w:rsidR="00830D63" w:rsidRDefault="00830D63">
      <w:pPr>
        <w:pStyle w:val="DipnotMetni"/>
      </w:pPr>
    </w:p>
  </w:footnote>
  <w:footnote w:id="7">
    <w:p w:rsidR="00FD1211" w:rsidRDefault="00FD1211">
      <w:pPr>
        <w:pStyle w:val="DipnotMetni"/>
      </w:pPr>
      <w:r>
        <w:rPr>
          <w:rStyle w:val="DipnotBavurusu"/>
        </w:rPr>
        <w:footnoteRef/>
      </w:r>
      <w:r>
        <w:t xml:space="preserve"> BAKK Yönetim Kurulu Üçüncü Toplantısı, 29 Temmuz 2011, Ankara</w:t>
      </w:r>
    </w:p>
  </w:footnote>
  <w:footnote w:id="8">
    <w:p w:rsidR="00687526" w:rsidRDefault="00687526" w:rsidP="002B3C62">
      <w:pPr>
        <w:pStyle w:val="DipnotMetni"/>
        <w:jc w:val="both"/>
      </w:pPr>
      <w:r>
        <w:rPr>
          <w:rStyle w:val="DipnotBavurusu"/>
        </w:rPr>
        <w:footnoteRef/>
      </w:r>
      <w:r w:rsidRPr="00687526">
        <w:t xml:space="preserve">İç Ticaret Genel Müdürlüğü BAKK Bilgi Notu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CE" w:rsidRPr="007A17CE" w:rsidRDefault="007A17CE" w:rsidP="007A17CE">
    <w:pPr>
      <w:pStyle w:val="stbilgi"/>
      <w:jc w:val="right"/>
      <w:rPr>
        <w:rStyle w:val="Vurgu"/>
        <w:color w:val="000000"/>
        <w:sz w:val="20"/>
        <w:szCs w:val="20"/>
      </w:rPr>
    </w:pPr>
    <w:r w:rsidRPr="007A17CE">
      <w:rPr>
        <w:rStyle w:val="Vurgu"/>
        <w:sz w:val="20"/>
        <w:szCs w:val="20"/>
      </w:rPr>
      <w:t>(Gümrük Ve Ticaret Uzmanları Dergisi Ağustos 2011</w:t>
    </w:r>
    <w:r w:rsidRPr="007A17CE">
      <w:rPr>
        <w:rStyle w:val="Vurgu"/>
        <w:color w:val="000000"/>
        <w:sz w:val="20"/>
        <w:szCs w:val="20"/>
      </w:rPr>
      <w:t>)</w:t>
    </w:r>
  </w:p>
  <w:p w:rsidR="007A17CE" w:rsidRDefault="007A17C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A686B"/>
    <w:multiLevelType w:val="hybridMultilevel"/>
    <w:tmpl w:val="865E3556"/>
    <w:lvl w:ilvl="0" w:tplc="7A38345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F4382D"/>
    <w:multiLevelType w:val="hybridMultilevel"/>
    <w:tmpl w:val="5F000798"/>
    <w:lvl w:ilvl="0" w:tplc="BB7E815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046B"/>
    <w:rsid w:val="000177F7"/>
    <w:rsid w:val="00050961"/>
    <w:rsid w:val="00065340"/>
    <w:rsid w:val="000A29F5"/>
    <w:rsid w:val="000A4A4E"/>
    <w:rsid w:val="000B03F8"/>
    <w:rsid w:val="000F0C28"/>
    <w:rsid w:val="00165E6B"/>
    <w:rsid w:val="001C5ACE"/>
    <w:rsid w:val="001D0700"/>
    <w:rsid w:val="00253363"/>
    <w:rsid w:val="0027150B"/>
    <w:rsid w:val="00284ABD"/>
    <w:rsid w:val="002B3C62"/>
    <w:rsid w:val="002E100D"/>
    <w:rsid w:val="002E30CA"/>
    <w:rsid w:val="002F00BB"/>
    <w:rsid w:val="003278DC"/>
    <w:rsid w:val="003822E4"/>
    <w:rsid w:val="003A66B2"/>
    <w:rsid w:val="003B40F3"/>
    <w:rsid w:val="003B47EF"/>
    <w:rsid w:val="003D4323"/>
    <w:rsid w:val="003D5B82"/>
    <w:rsid w:val="003E71EA"/>
    <w:rsid w:val="003F6650"/>
    <w:rsid w:val="00463817"/>
    <w:rsid w:val="004700BC"/>
    <w:rsid w:val="004A3AB1"/>
    <w:rsid w:val="004A4FFE"/>
    <w:rsid w:val="00503DB1"/>
    <w:rsid w:val="00516892"/>
    <w:rsid w:val="00521E7A"/>
    <w:rsid w:val="00522E9E"/>
    <w:rsid w:val="005540FC"/>
    <w:rsid w:val="005F6F1D"/>
    <w:rsid w:val="00604605"/>
    <w:rsid w:val="0063345C"/>
    <w:rsid w:val="00653493"/>
    <w:rsid w:val="00664A71"/>
    <w:rsid w:val="006732D4"/>
    <w:rsid w:val="00681311"/>
    <w:rsid w:val="006828AA"/>
    <w:rsid w:val="00687526"/>
    <w:rsid w:val="00704AD6"/>
    <w:rsid w:val="007A17CE"/>
    <w:rsid w:val="007C12D5"/>
    <w:rsid w:val="00830D63"/>
    <w:rsid w:val="008866DE"/>
    <w:rsid w:val="008A5CA4"/>
    <w:rsid w:val="0092010C"/>
    <w:rsid w:val="00937AC6"/>
    <w:rsid w:val="009B5116"/>
    <w:rsid w:val="00A07CD3"/>
    <w:rsid w:val="00A146C2"/>
    <w:rsid w:val="00A161B6"/>
    <w:rsid w:val="00A41452"/>
    <w:rsid w:val="00A906CA"/>
    <w:rsid w:val="00AD7D37"/>
    <w:rsid w:val="00B00C64"/>
    <w:rsid w:val="00B218B6"/>
    <w:rsid w:val="00B31F91"/>
    <w:rsid w:val="00BC1978"/>
    <w:rsid w:val="00BE655B"/>
    <w:rsid w:val="00BF05DC"/>
    <w:rsid w:val="00C03886"/>
    <w:rsid w:val="00C20989"/>
    <w:rsid w:val="00C46F93"/>
    <w:rsid w:val="00C65AA0"/>
    <w:rsid w:val="00C9747C"/>
    <w:rsid w:val="00CD6884"/>
    <w:rsid w:val="00D0254B"/>
    <w:rsid w:val="00D03D63"/>
    <w:rsid w:val="00D36297"/>
    <w:rsid w:val="00D821D2"/>
    <w:rsid w:val="00DA0173"/>
    <w:rsid w:val="00DE4BD2"/>
    <w:rsid w:val="00DE7E36"/>
    <w:rsid w:val="00EA02C1"/>
    <w:rsid w:val="00EE76FF"/>
    <w:rsid w:val="00F14A40"/>
    <w:rsid w:val="00F428A9"/>
    <w:rsid w:val="00F5046B"/>
    <w:rsid w:val="00F560CD"/>
    <w:rsid w:val="00F6667E"/>
    <w:rsid w:val="00FD1211"/>
    <w:rsid w:val="00FF3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560C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60CD"/>
    <w:rPr>
      <w:sz w:val="20"/>
      <w:szCs w:val="20"/>
    </w:rPr>
  </w:style>
  <w:style w:type="character" w:styleId="DipnotBavurusu">
    <w:name w:val="footnote reference"/>
    <w:basedOn w:val="VarsaylanParagrafYazTipi"/>
    <w:uiPriority w:val="99"/>
    <w:semiHidden/>
    <w:unhideWhenUsed/>
    <w:rsid w:val="00F560CD"/>
    <w:rPr>
      <w:vertAlign w:val="superscript"/>
    </w:rPr>
  </w:style>
  <w:style w:type="paragraph" w:styleId="stbilgi">
    <w:name w:val="header"/>
    <w:basedOn w:val="Normal"/>
    <w:link w:val="stbilgiChar"/>
    <w:uiPriority w:val="99"/>
    <w:unhideWhenUsed/>
    <w:rsid w:val="00F56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60CD"/>
  </w:style>
  <w:style w:type="paragraph" w:styleId="Altbilgi">
    <w:name w:val="footer"/>
    <w:basedOn w:val="Normal"/>
    <w:link w:val="AltbilgiChar"/>
    <w:uiPriority w:val="99"/>
    <w:unhideWhenUsed/>
    <w:rsid w:val="00F56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60CD"/>
  </w:style>
  <w:style w:type="paragraph" w:styleId="BalonMetni">
    <w:name w:val="Balloon Text"/>
    <w:basedOn w:val="Normal"/>
    <w:link w:val="BalonMetniChar"/>
    <w:uiPriority w:val="99"/>
    <w:semiHidden/>
    <w:unhideWhenUsed/>
    <w:rsid w:val="00C209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989"/>
    <w:rPr>
      <w:rFonts w:ascii="Tahoma" w:hAnsi="Tahoma" w:cs="Tahoma"/>
      <w:sz w:val="16"/>
      <w:szCs w:val="16"/>
    </w:rPr>
  </w:style>
  <w:style w:type="table" w:styleId="AkGlgeleme-Vurgu2">
    <w:name w:val="Light Shading Accent 2"/>
    <w:basedOn w:val="NormalTablo"/>
    <w:uiPriority w:val="60"/>
    <w:rsid w:val="00C65A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Liste1-Vurgu4">
    <w:name w:val="Medium List 1 Accent 4"/>
    <w:basedOn w:val="NormalTablo"/>
    <w:uiPriority w:val="65"/>
    <w:rsid w:val="00C65AA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AkGlgeleme-Vurgu4">
    <w:name w:val="Light Shading Accent 4"/>
    <w:basedOn w:val="NormalTablo"/>
    <w:uiPriority w:val="60"/>
    <w:rsid w:val="00C65AA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semiHidden/>
    <w:unhideWhenUsed/>
    <w:rsid w:val="000A4A4E"/>
    <w:pPr>
      <w:spacing w:after="0" w:line="240" w:lineRule="auto"/>
    </w:pPr>
    <w:rPr>
      <w:rFonts w:ascii="Times New Roman" w:eastAsia="Times New Roman" w:hAnsi="Times New Roman" w:cs="Times New Roman"/>
      <w:sz w:val="24"/>
      <w:szCs w:val="24"/>
      <w:lang w:eastAsia="tr-TR"/>
    </w:rPr>
  </w:style>
  <w:style w:type="character" w:customStyle="1" w:styleId="baslik21">
    <w:name w:val="baslik21"/>
    <w:basedOn w:val="VarsaylanParagrafYazTipi"/>
    <w:rsid w:val="000A4A4E"/>
    <w:rPr>
      <w:rFonts w:ascii="Verdana" w:hAnsi="Verdana" w:hint="default"/>
      <w:b/>
      <w:bCs/>
      <w:i/>
      <w:iCs/>
      <w:color w:val="000068"/>
      <w:sz w:val="24"/>
      <w:szCs w:val="24"/>
    </w:rPr>
  </w:style>
  <w:style w:type="paragraph" w:styleId="Trnak">
    <w:name w:val="Quote"/>
    <w:basedOn w:val="Normal"/>
    <w:next w:val="Normal"/>
    <w:link w:val="TrnakChar"/>
    <w:uiPriority w:val="29"/>
    <w:qFormat/>
    <w:rsid w:val="00A906CA"/>
    <w:rPr>
      <w:rFonts w:eastAsiaTheme="minorEastAsia"/>
      <w:i/>
      <w:iCs/>
      <w:color w:val="000000" w:themeColor="text1"/>
      <w:lang w:eastAsia="tr-TR"/>
    </w:rPr>
  </w:style>
  <w:style w:type="character" w:customStyle="1" w:styleId="TrnakChar">
    <w:name w:val="Tırnak Char"/>
    <w:basedOn w:val="VarsaylanParagrafYazTipi"/>
    <w:link w:val="Trnak"/>
    <w:uiPriority w:val="29"/>
    <w:rsid w:val="00A906CA"/>
    <w:rPr>
      <w:rFonts w:eastAsiaTheme="minorEastAsia"/>
      <w:i/>
      <w:iCs/>
      <w:color w:val="000000" w:themeColor="text1"/>
      <w:lang w:eastAsia="tr-TR"/>
    </w:rPr>
  </w:style>
  <w:style w:type="character" w:styleId="Vurgu">
    <w:name w:val="Emphasis"/>
    <w:basedOn w:val="VarsaylanParagrafYazTipi"/>
    <w:uiPriority w:val="20"/>
    <w:qFormat/>
    <w:rsid w:val="007A17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560C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60CD"/>
    <w:rPr>
      <w:sz w:val="20"/>
      <w:szCs w:val="20"/>
    </w:rPr>
  </w:style>
  <w:style w:type="character" w:styleId="DipnotBavurusu">
    <w:name w:val="footnote reference"/>
    <w:basedOn w:val="VarsaylanParagrafYazTipi"/>
    <w:uiPriority w:val="99"/>
    <w:semiHidden/>
    <w:unhideWhenUsed/>
    <w:rsid w:val="00F560CD"/>
    <w:rPr>
      <w:vertAlign w:val="superscript"/>
    </w:rPr>
  </w:style>
  <w:style w:type="paragraph" w:styleId="stbilgi">
    <w:name w:val="header"/>
    <w:basedOn w:val="Normal"/>
    <w:link w:val="stbilgiChar"/>
    <w:uiPriority w:val="99"/>
    <w:unhideWhenUsed/>
    <w:rsid w:val="00F56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60CD"/>
  </w:style>
  <w:style w:type="paragraph" w:styleId="Altbilgi">
    <w:name w:val="footer"/>
    <w:basedOn w:val="Normal"/>
    <w:link w:val="AltbilgiChar"/>
    <w:uiPriority w:val="99"/>
    <w:unhideWhenUsed/>
    <w:rsid w:val="00F56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60CD"/>
  </w:style>
  <w:style w:type="paragraph" w:styleId="BalonMetni">
    <w:name w:val="Balloon Text"/>
    <w:basedOn w:val="Normal"/>
    <w:link w:val="BalonMetniChar"/>
    <w:uiPriority w:val="99"/>
    <w:semiHidden/>
    <w:unhideWhenUsed/>
    <w:rsid w:val="00C209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989"/>
    <w:rPr>
      <w:rFonts w:ascii="Tahoma" w:hAnsi="Tahoma" w:cs="Tahoma"/>
      <w:sz w:val="16"/>
      <w:szCs w:val="16"/>
    </w:rPr>
  </w:style>
  <w:style w:type="table" w:styleId="AkGlgeleme-Vurgu2">
    <w:name w:val="Light Shading Accent 2"/>
    <w:basedOn w:val="NormalTablo"/>
    <w:uiPriority w:val="60"/>
    <w:rsid w:val="00C65A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Liste1-Vurgu4">
    <w:name w:val="Medium List 1 Accent 4"/>
    <w:basedOn w:val="NormalTablo"/>
    <w:uiPriority w:val="65"/>
    <w:rsid w:val="00C65AA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AkGlgeleme-Vurgu4">
    <w:name w:val="Light Shading Accent 4"/>
    <w:basedOn w:val="NormalTablo"/>
    <w:uiPriority w:val="60"/>
    <w:rsid w:val="00C65AA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semiHidden/>
    <w:unhideWhenUsed/>
    <w:rsid w:val="000A4A4E"/>
    <w:pPr>
      <w:spacing w:after="0" w:line="240" w:lineRule="auto"/>
    </w:pPr>
    <w:rPr>
      <w:rFonts w:ascii="Times New Roman" w:eastAsia="Times New Roman" w:hAnsi="Times New Roman" w:cs="Times New Roman"/>
      <w:sz w:val="24"/>
      <w:szCs w:val="24"/>
      <w:lang w:eastAsia="tr-TR"/>
    </w:rPr>
  </w:style>
  <w:style w:type="character" w:customStyle="1" w:styleId="baslik21">
    <w:name w:val="baslik21"/>
    <w:basedOn w:val="VarsaylanParagrafYazTipi"/>
    <w:rsid w:val="000A4A4E"/>
    <w:rPr>
      <w:rFonts w:ascii="Verdana" w:hAnsi="Verdana" w:hint="default"/>
      <w:b/>
      <w:bCs/>
      <w:i/>
      <w:iCs/>
      <w:color w:val="000068"/>
      <w:sz w:val="24"/>
      <w:szCs w:val="24"/>
    </w:rPr>
  </w:style>
  <w:style w:type="paragraph" w:styleId="Trnak">
    <w:name w:val="Quote"/>
    <w:basedOn w:val="Normal"/>
    <w:next w:val="Normal"/>
    <w:link w:val="TrnakChar"/>
    <w:uiPriority w:val="29"/>
    <w:qFormat/>
    <w:rsid w:val="00A906CA"/>
    <w:rPr>
      <w:rFonts w:eastAsiaTheme="minorEastAsia"/>
      <w:i/>
      <w:iCs/>
      <w:color w:val="000000" w:themeColor="text1"/>
      <w:lang w:eastAsia="tr-TR"/>
    </w:rPr>
  </w:style>
  <w:style w:type="character" w:customStyle="1" w:styleId="TrnakChar">
    <w:name w:val="Tırnak Char"/>
    <w:basedOn w:val="VarsaylanParagrafYazTipi"/>
    <w:link w:val="Trnak"/>
    <w:uiPriority w:val="29"/>
    <w:rsid w:val="00A906CA"/>
    <w:rPr>
      <w:rFonts w:eastAsiaTheme="minorEastAsia"/>
      <w:i/>
      <w:iCs/>
      <w:color w:val="000000" w:themeColor="text1"/>
      <w:lang w:eastAsia="tr-TR"/>
    </w:rPr>
  </w:style>
</w:styles>
</file>

<file path=word/webSettings.xml><?xml version="1.0" encoding="utf-8"?>
<w:webSettings xmlns:r="http://schemas.openxmlformats.org/officeDocument/2006/relationships" xmlns:w="http://schemas.openxmlformats.org/wordprocessingml/2006/main">
  <w:divs>
    <w:div w:id="7574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6897-FFED-4C41-A459-C0F75CCD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1598</Words>
  <Characters>9111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Sancak</dc:creator>
  <cp:keywords/>
  <dc:description/>
  <cp:lastModifiedBy>MEDSYS</cp:lastModifiedBy>
  <cp:revision>48</cp:revision>
  <cp:lastPrinted>2011-09-15T11:59:00Z</cp:lastPrinted>
  <dcterms:created xsi:type="dcterms:W3CDTF">2011-09-14T13:13:00Z</dcterms:created>
  <dcterms:modified xsi:type="dcterms:W3CDTF">2013-08-05T09:06:00Z</dcterms:modified>
</cp:coreProperties>
</file>